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BA8DE" w14:textId="55876F1B" w:rsidR="001F4A74" w:rsidRDefault="00A1523C" w:rsidP="00151A8D">
      <w:pPr>
        <w:pStyle w:val="CRCoverPage"/>
        <w:tabs>
          <w:tab w:val="right" w:pos="9639"/>
        </w:tabs>
        <w:spacing w:after="0"/>
        <w:rPr>
          <w:b/>
          <w:bCs/>
          <w:noProof/>
          <w:sz w:val="24"/>
          <w:szCs w:val="24"/>
        </w:rPr>
      </w:pPr>
      <w:r w:rsidRPr="0C1B321D">
        <w:rPr>
          <w:b/>
          <w:bCs/>
          <w:noProof/>
          <w:sz w:val="24"/>
          <w:szCs w:val="24"/>
        </w:rPr>
        <w:t>3GPP TSG-RAN4 Meeting #11</w:t>
      </w:r>
      <w:r>
        <w:rPr>
          <w:b/>
          <w:bCs/>
          <w:noProof/>
          <w:sz w:val="24"/>
          <w:szCs w:val="24"/>
        </w:rPr>
        <w:t>3</w:t>
      </w:r>
      <w:r w:rsidR="001F4A74">
        <w:tab/>
      </w:r>
      <w:r w:rsidR="00151A8D" w:rsidRPr="00151A8D">
        <w:rPr>
          <w:b/>
          <w:bCs/>
          <w:noProof/>
          <w:sz w:val="24"/>
          <w:szCs w:val="24"/>
        </w:rPr>
        <w:t>R4-2418610</w:t>
      </w:r>
    </w:p>
    <w:p w14:paraId="2E0410B7" w14:textId="4809B7A6" w:rsidR="004D7E41" w:rsidRPr="001F4A74" w:rsidRDefault="00D564D5" w:rsidP="00BA366E">
      <w:pPr>
        <w:rPr>
          <w:rFonts w:ascii="Arial" w:hAnsi="Arial" w:cs="Arial"/>
          <w:b/>
          <w:bCs/>
          <w:noProof/>
          <w:sz w:val="24"/>
          <w:szCs w:val="24"/>
        </w:rPr>
      </w:pPr>
      <w:r w:rsidRPr="0006232B">
        <w:rPr>
          <w:rFonts w:ascii="Arial" w:eastAsia="MS Mincho" w:hAnsi="Arial"/>
          <w:b/>
          <w:bCs/>
          <w:noProof/>
          <w:sz w:val="24"/>
          <w:szCs w:val="24"/>
          <w:lang w:eastAsia="en-US"/>
        </w:rPr>
        <w:t>Orlando, US, 18th – 22nd November, 2024</w:t>
      </w:r>
      <w:r w:rsidR="001F4A74">
        <w:br/>
      </w:r>
    </w:p>
    <w:p w14:paraId="6D01FBCB" w14:textId="2A9FDBAC"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BB3612">
        <w:rPr>
          <w:rFonts w:ascii="Arial" w:hAnsi="Arial" w:cs="Arial"/>
          <w:b/>
        </w:rPr>
        <w:t xml:space="preserve">adjacent channel </w:t>
      </w:r>
      <w:r w:rsidR="00A50B3C">
        <w:rPr>
          <w:rFonts w:ascii="Arial" w:hAnsi="Arial" w:cs="Arial"/>
          <w:b/>
        </w:rPr>
        <w:t>co-existence</w:t>
      </w:r>
      <w:r w:rsidRPr="00E67FB1">
        <w:rPr>
          <w:rFonts w:ascii="Arial" w:hAnsi="Arial" w:cs="Arial"/>
          <w:b/>
        </w:rPr>
        <w:t xml:space="preserve"> for </w:t>
      </w:r>
      <w:r w:rsidR="001B5B2C">
        <w:rPr>
          <w:rFonts w:ascii="Arial" w:hAnsi="Arial" w:cs="Arial"/>
          <w:b/>
        </w:rPr>
        <w:t>1480</w:t>
      </w:r>
      <w:r w:rsidR="00CE6EE0">
        <w:rPr>
          <w:rFonts w:ascii="Arial" w:hAnsi="Arial" w:cs="Arial"/>
          <w:b/>
        </w:rPr>
        <w:t>0</w:t>
      </w:r>
      <w:r>
        <w:rPr>
          <w:rFonts w:ascii="Arial" w:hAnsi="Arial" w:cs="Arial"/>
          <w:b/>
        </w:rPr>
        <w:t xml:space="preserve"> - </w:t>
      </w:r>
      <w:r w:rsidR="003A10AA">
        <w:rPr>
          <w:rFonts w:ascii="Arial" w:hAnsi="Arial" w:cs="Arial"/>
          <w:b/>
        </w:rPr>
        <w:t>15350</w:t>
      </w:r>
      <w:r w:rsidRPr="00E67FB1">
        <w:rPr>
          <w:rFonts w:ascii="Arial" w:hAnsi="Arial" w:cs="Arial"/>
          <w:b/>
        </w:rPr>
        <w:t xml:space="preserve"> MHz</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71B88A63"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DB5F6D">
        <w:rPr>
          <w:rFonts w:ascii="Arial" w:hAnsi="Arial" w:cs="Arial"/>
          <w:b/>
        </w:rPr>
        <w:t>7</w:t>
      </w:r>
      <w:r>
        <w:rPr>
          <w:rFonts w:ascii="Arial" w:hAnsi="Arial" w:cs="Arial"/>
          <w:b/>
        </w:rPr>
        <w:t>.</w:t>
      </w:r>
      <w:r w:rsidR="00DA6E92">
        <w:rPr>
          <w:rFonts w:ascii="Arial" w:hAnsi="Arial" w:cs="Arial"/>
          <w:b/>
        </w:rPr>
        <w:t>2</w:t>
      </w:r>
      <w:r>
        <w:rPr>
          <w:rFonts w:ascii="Arial" w:hAnsi="Arial" w:cs="Arial"/>
          <w:b/>
        </w:rPr>
        <w:t>.4</w:t>
      </w:r>
      <w:r w:rsidR="00546B72">
        <w:rPr>
          <w:rFonts w:ascii="Arial" w:hAnsi="Arial" w:cs="Arial"/>
          <w:b/>
        </w:rPr>
        <w:t>.1</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69FE45B0" w14:textId="1672A91A" w:rsidR="005758E6" w:rsidRDefault="005758E6" w:rsidP="00823087">
      <w:pPr>
        <w:jc w:val="both"/>
      </w:pPr>
      <w:r>
        <w:t xml:space="preserve">During RAN#103 plenary a new study item </w:t>
      </w:r>
      <w:r w:rsidRPr="004A7143">
        <w:t>on IMT parameters for 4400 to 4800 MHz, 7125 to 8400 MHz and 14800 to 15350 MHz</w:t>
      </w:r>
      <w:r>
        <w:t xml:space="preserve"> was approved [1]. In RAN4#11</w:t>
      </w:r>
      <w:r w:rsidR="00BB3612">
        <w:t>2</w:t>
      </w:r>
      <w:r>
        <w:t>, a WF was agreed in [2]</w:t>
      </w:r>
      <w:r w:rsidR="00BB3612">
        <w:t xml:space="preserve"> and [3]</w:t>
      </w:r>
      <w:r>
        <w:t xml:space="preserve"> where several agreements were captured for the 14800 – 15350 MHz frequency range. In this contribution, we provide our </w:t>
      </w:r>
      <w:r w:rsidR="0085151E">
        <w:t xml:space="preserve">preliminary results and </w:t>
      </w:r>
      <w:r>
        <w:t xml:space="preserve">views on the different </w:t>
      </w:r>
      <w:r w:rsidR="0085151E">
        <w:t xml:space="preserve">system aspects, </w:t>
      </w:r>
      <w:r>
        <w:t>RF parameters for BS and UE items for the 14800 – 15350  MHz frequency range</w:t>
      </w:r>
      <w:r w:rsidR="0085151E">
        <w:t xml:space="preserve">. </w:t>
      </w:r>
    </w:p>
    <w:p w14:paraId="3F057274" w14:textId="049C98DC" w:rsidR="00AD616E" w:rsidRPr="000F117D" w:rsidRDefault="00993E9B" w:rsidP="000F117D">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r w:rsidR="00AD616E">
        <w:rPr>
          <w:lang w:eastAsia="ja-JP"/>
        </w:rPr>
        <w:t xml:space="preserve"> </w:t>
      </w:r>
      <w:r w:rsidR="001E310D">
        <w:rPr>
          <w:lang w:eastAsia="ja-JP"/>
        </w:rPr>
        <w:tab/>
      </w:r>
    </w:p>
    <w:p w14:paraId="3DF656A3" w14:textId="4C93B671" w:rsidR="002933E2" w:rsidRPr="002933E2" w:rsidRDefault="000F117D" w:rsidP="001E310D">
      <w:pPr>
        <w:pStyle w:val="Heading2"/>
        <w:rPr>
          <w:lang w:eastAsia="ja-JP"/>
        </w:rPr>
      </w:pPr>
      <w:r>
        <w:rPr>
          <w:lang w:eastAsia="ja-JP"/>
        </w:rPr>
        <w:t>2.1</w:t>
      </w:r>
      <w:r>
        <w:rPr>
          <w:lang w:eastAsia="ja-JP"/>
        </w:rPr>
        <w:tab/>
      </w:r>
      <w:r w:rsidR="002933E2">
        <w:rPr>
          <w:lang w:eastAsia="ja-JP"/>
        </w:rPr>
        <w:t xml:space="preserve">System parameters </w:t>
      </w:r>
    </w:p>
    <w:p w14:paraId="48F4E0ED" w14:textId="73235253" w:rsidR="00D4248B" w:rsidRPr="00293548" w:rsidRDefault="00F074FB" w:rsidP="003553A2">
      <w:pPr>
        <w:pStyle w:val="Heading2"/>
        <w:ind w:left="0" w:firstLine="0"/>
        <w:rPr>
          <w:b/>
          <w:bCs/>
        </w:rPr>
      </w:pPr>
      <w:r>
        <w:rPr>
          <w:b/>
          <w:bCs/>
        </w:rPr>
        <w:t xml:space="preserve"> </w:t>
      </w:r>
      <w:r w:rsidR="006A709E">
        <w:rPr>
          <w:lang w:eastAsia="ja-JP"/>
        </w:rPr>
        <w:t>2.</w:t>
      </w:r>
      <w:r w:rsidR="003553A2">
        <w:rPr>
          <w:lang w:eastAsia="ja-JP"/>
        </w:rPr>
        <w:t>1.1</w:t>
      </w:r>
      <w:r w:rsidR="00293548">
        <w:rPr>
          <w:lang w:eastAsia="ja-JP"/>
        </w:rPr>
        <w:tab/>
      </w:r>
      <w:r w:rsidR="00D4248B" w:rsidRPr="00D4248B">
        <w:rPr>
          <w:lang w:eastAsia="ja-JP"/>
        </w:rPr>
        <w:t>Channel bandwidth</w:t>
      </w:r>
    </w:p>
    <w:p w14:paraId="7D9EA049" w14:textId="71782CBF" w:rsidR="00D4248B" w:rsidRDefault="00F57B90" w:rsidP="00823087">
      <w:pPr>
        <w:jc w:val="both"/>
      </w:pPr>
      <w:r>
        <w:t xml:space="preserve">In general, wider channel bandwidths should be enabled with increasing frequency following same approach as FR1 (3 to 100 MHz) to FR2 (50 to 400 MHz). This comes with increasing SCS and increasing RB width and availability of the spectrum. </w:t>
      </w:r>
      <w:r w:rsidR="00AE510F">
        <w:t xml:space="preserve">Channel bandwidth of </w:t>
      </w:r>
      <w:r w:rsidR="00AE510F" w:rsidRPr="00B11736">
        <w:t>100 MHz has been considered as a representative channel bandwidth</w:t>
      </w:r>
      <w:r w:rsidR="00AE510F">
        <w:t xml:space="preserve"> in TR 38.921 for 6GHz and 10GHz. </w:t>
      </w:r>
      <w:r w:rsidR="002D37EF">
        <w:t xml:space="preserve">Accordingly, it is proposed that </w:t>
      </w:r>
      <w:r w:rsidR="00B11736">
        <w:t xml:space="preserve">higher channel bandwidth (e.g., 200 MHz) should </w:t>
      </w:r>
      <w:r w:rsidR="001D1E76">
        <w:t>be considered as a baseline for this frequency range</w:t>
      </w:r>
      <w:r w:rsidR="007855B3">
        <w:t xml:space="preserve">. </w:t>
      </w:r>
    </w:p>
    <w:p w14:paraId="692EC8C1" w14:textId="64942320" w:rsidR="00884DBF" w:rsidRPr="0039563D" w:rsidRDefault="007855B3" w:rsidP="005655B7">
      <w:pPr>
        <w:jc w:val="both"/>
        <w:rPr>
          <w:b/>
          <w:bCs/>
        </w:rPr>
      </w:pPr>
      <w:r w:rsidRPr="00F076B6">
        <w:rPr>
          <w:b/>
          <w:bCs/>
          <w:u w:val="single"/>
        </w:rPr>
        <w:t xml:space="preserve">Proposal </w:t>
      </w:r>
      <w:r w:rsidR="004B13B3">
        <w:rPr>
          <w:b/>
          <w:bCs/>
          <w:u w:val="single"/>
        </w:rPr>
        <w:t>1</w:t>
      </w:r>
      <w:r w:rsidRPr="00915421">
        <w:rPr>
          <w:b/>
          <w:bCs/>
        </w:rPr>
        <w:t xml:space="preserve">: </w:t>
      </w:r>
      <w:r w:rsidR="00B75FB9">
        <w:rPr>
          <w:b/>
          <w:bCs/>
        </w:rPr>
        <w:t xml:space="preserve">RAN4 to consider </w:t>
      </w:r>
      <w:r w:rsidR="001D1E76">
        <w:rPr>
          <w:b/>
          <w:bCs/>
        </w:rPr>
        <w:t>2</w:t>
      </w:r>
      <w:r w:rsidR="00B75FB9">
        <w:rPr>
          <w:b/>
          <w:bCs/>
        </w:rPr>
        <w:t xml:space="preserve">00 MHz as a baseline </w:t>
      </w:r>
      <w:r w:rsidR="001D1E76">
        <w:rPr>
          <w:b/>
          <w:bCs/>
        </w:rPr>
        <w:t>in the adjacent channel</w:t>
      </w:r>
      <w:r w:rsidR="00A26E72">
        <w:rPr>
          <w:b/>
          <w:bCs/>
        </w:rPr>
        <w:t xml:space="preserve"> coexistence</w:t>
      </w:r>
      <w:r w:rsidR="001D1E76">
        <w:rPr>
          <w:b/>
          <w:bCs/>
        </w:rPr>
        <w:t xml:space="preserve"> framework. </w:t>
      </w:r>
      <w:r w:rsidR="00A64262" w:rsidRPr="00C50380">
        <w:rPr>
          <w:b/>
          <w:bCs/>
        </w:rPr>
        <w:t xml:space="preserve"> </w:t>
      </w:r>
    </w:p>
    <w:p w14:paraId="06A0DFA8" w14:textId="47F71446" w:rsidR="000F117D" w:rsidRDefault="000F117D">
      <w:pPr>
        <w:pStyle w:val="Heading2"/>
      </w:pPr>
      <w:r>
        <w:t xml:space="preserve">2.5 </w:t>
      </w:r>
      <w:r w:rsidR="005655B7">
        <w:t>Adjacent channel c</w:t>
      </w:r>
      <w:r w:rsidR="009034ED">
        <w:t>oexistence</w:t>
      </w:r>
      <w:r>
        <w:t xml:space="preserve"> results</w:t>
      </w:r>
    </w:p>
    <w:p w14:paraId="58235624" w14:textId="22D4B631" w:rsidR="00C53F8D" w:rsidRDefault="00C53F8D" w:rsidP="00C53F8D">
      <w:pPr>
        <w:rPr>
          <w:lang w:eastAsia="zh-CN"/>
        </w:rPr>
      </w:pPr>
      <w:r>
        <w:t xml:space="preserve">In this contribution we present our </w:t>
      </w:r>
      <w:r w:rsidR="00E842D3">
        <w:t xml:space="preserve">simulation </w:t>
      </w:r>
      <w:r>
        <w:t xml:space="preserve">results </w:t>
      </w:r>
      <w:r w:rsidR="008D6BDE">
        <w:t xml:space="preserve">for Urban macro scenario for both downlink and uplink transmissions </w:t>
      </w:r>
      <w:r>
        <w:t xml:space="preserve">based on the set of parameters </w:t>
      </w:r>
      <w:r w:rsidR="00E842D3">
        <w:t>and models given in [4]. W</w:t>
      </w:r>
      <w:r w:rsidR="00C61777" w:rsidRPr="002072E2">
        <w:rPr>
          <w:lang w:eastAsia="zh-CN"/>
        </w:rPr>
        <w:t xml:space="preserve">e follow the </w:t>
      </w:r>
      <w:r w:rsidR="0065252B">
        <w:rPr>
          <w:lang w:eastAsia="zh-CN"/>
        </w:rPr>
        <w:t xml:space="preserve">RAN4 </w:t>
      </w:r>
      <w:r w:rsidR="00C61777" w:rsidRPr="002072E2">
        <w:rPr>
          <w:lang w:eastAsia="zh-CN"/>
        </w:rPr>
        <w:t>simulation methodolo</w:t>
      </w:r>
      <w:r w:rsidR="0065252B">
        <w:rPr>
          <w:lang w:eastAsia="zh-CN"/>
        </w:rPr>
        <w:t>gy</w:t>
      </w:r>
      <w:r w:rsidR="00C61777" w:rsidRPr="002072E2">
        <w:rPr>
          <w:lang w:eastAsia="zh-CN"/>
        </w:rPr>
        <w:t xml:space="preserve">, where </w:t>
      </w:r>
      <w:r w:rsidR="00C61777">
        <w:rPr>
          <w:lang w:eastAsia="zh-CN"/>
        </w:rPr>
        <w:t xml:space="preserve">the </w:t>
      </w:r>
      <w:r w:rsidR="00C61777" w:rsidRPr="002072E2">
        <w:rPr>
          <w:lang w:eastAsia="zh-CN"/>
        </w:rPr>
        <w:t xml:space="preserve">RF parameters </w:t>
      </w:r>
      <w:r w:rsidR="003B323A">
        <w:rPr>
          <w:lang w:eastAsia="zh-CN"/>
        </w:rPr>
        <w:t xml:space="preserve">(i.e., ACLR/ACS) </w:t>
      </w:r>
      <w:r w:rsidR="00C61777" w:rsidRPr="002072E2">
        <w:rPr>
          <w:lang w:eastAsia="zh-CN"/>
        </w:rPr>
        <w:t>are determined based on the degradation cause by adjacent channel interference (ACI).</w:t>
      </w:r>
    </w:p>
    <w:p w14:paraId="16D06A5B" w14:textId="313DDA2A" w:rsidR="000666D4" w:rsidRDefault="000666D4" w:rsidP="000666D4">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1A310D" w14:paraId="5DEF5E71" w14:textId="77777777" w:rsidTr="00B22C2E">
        <w:tc>
          <w:tcPr>
            <w:tcW w:w="4811" w:type="dxa"/>
          </w:tcPr>
          <w:p w14:paraId="42B38AA2" w14:textId="2CE7395A" w:rsidR="001A310D" w:rsidRPr="001A310D" w:rsidRDefault="001A310D" w:rsidP="00D05D7A">
            <w:pPr>
              <w:rPr>
                <w:b/>
                <w:bCs/>
              </w:rPr>
            </w:pPr>
            <w:r w:rsidRPr="000666D4">
              <w:rPr>
                <w:noProof/>
              </w:rPr>
              <w:lastRenderedPageBreak/>
              <w:drawing>
                <wp:inline distT="0" distB="0" distL="0" distR="0" wp14:anchorId="3D8FFF19" wp14:editId="583A2DE9">
                  <wp:extent cx="3236595" cy="2418080"/>
                  <wp:effectExtent l="0" t="0" r="0" b="1270"/>
                  <wp:docPr id="1149952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6595" cy="2418080"/>
                          </a:xfrm>
                          <a:prstGeom prst="rect">
                            <a:avLst/>
                          </a:prstGeom>
                          <a:noFill/>
                          <a:ln>
                            <a:noFill/>
                          </a:ln>
                        </pic:spPr>
                      </pic:pic>
                    </a:graphicData>
                  </a:graphic>
                </wp:inline>
              </w:drawing>
            </w:r>
          </w:p>
        </w:tc>
        <w:tc>
          <w:tcPr>
            <w:tcW w:w="4811" w:type="dxa"/>
          </w:tcPr>
          <w:p w14:paraId="7CDA4E00" w14:textId="76EA6784" w:rsidR="001A310D" w:rsidRDefault="001A310D" w:rsidP="00B22C2E">
            <w:pPr>
              <w:keepNext/>
            </w:pPr>
            <w:r w:rsidRPr="001A310D">
              <w:rPr>
                <w:noProof/>
              </w:rPr>
              <w:drawing>
                <wp:inline distT="0" distB="0" distL="0" distR="0" wp14:anchorId="50D52AA5" wp14:editId="4CD3DDA2">
                  <wp:extent cx="3236595" cy="2418080"/>
                  <wp:effectExtent l="0" t="0" r="0" b="1270"/>
                  <wp:docPr id="17172599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6595" cy="2418080"/>
                          </a:xfrm>
                          <a:prstGeom prst="rect">
                            <a:avLst/>
                          </a:prstGeom>
                          <a:noFill/>
                          <a:ln>
                            <a:noFill/>
                          </a:ln>
                        </pic:spPr>
                      </pic:pic>
                    </a:graphicData>
                  </a:graphic>
                </wp:inline>
              </w:drawing>
            </w:r>
          </w:p>
        </w:tc>
      </w:tr>
    </w:tbl>
    <w:p w14:paraId="251D1FA6" w14:textId="13D30F10" w:rsidR="001A310D" w:rsidRDefault="00B22C2E" w:rsidP="00B22C2E">
      <w:pPr>
        <w:pStyle w:val="Caption"/>
        <w:jc w:val="center"/>
      </w:pPr>
      <w:r>
        <w:t xml:space="preserve">Figure </w:t>
      </w:r>
      <w:r>
        <w:fldChar w:fldCharType="begin"/>
      </w:r>
      <w:r>
        <w:instrText xml:space="preserve"> SEQ Figure \* ARABIC </w:instrText>
      </w:r>
      <w:r>
        <w:fldChar w:fldCharType="separate"/>
      </w:r>
      <w:r w:rsidR="00CF4F13">
        <w:rPr>
          <w:noProof/>
        </w:rPr>
        <w:t>1</w:t>
      </w:r>
      <w:r>
        <w:fldChar w:fldCharType="end"/>
      </w:r>
      <w:r>
        <w:t xml:space="preserve"> SINR statistics for downlink and uplink (ACIR = 15 dB)</w:t>
      </w:r>
    </w:p>
    <w:p w14:paraId="1F4DA196" w14:textId="77DCBF7F" w:rsidR="00B539C3" w:rsidRDefault="00D05D7A" w:rsidP="00626B61">
      <w:r>
        <w:t xml:space="preserve">The SINR CDF for the uncoordinated case for </w:t>
      </w:r>
      <w:r w:rsidR="00F05747">
        <w:t xml:space="preserve">both downlink and uplink scenarios is given in Figure 1. Based on the observed performance, we can conclude the following: </w:t>
      </w:r>
    </w:p>
    <w:p w14:paraId="4BEBA9AB" w14:textId="7556FAA9" w:rsidR="00F05747" w:rsidRDefault="00F05747" w:rsidP="00F05747">
      <w:pPr>
        <w:pStyle w:val="ListParagraph"/>
        <w:numPr>
          <w:ilvl w:val="0"/>
          <w:numId w:val="14"/>
        </w:numPr>
      </w:pPr>
      <w:r>
        <w:t>BS antenna parameters agreed in [3] (i.e</w:t>
      </w:r>
      <w:r w:rsidR="00A84D25">
        <w:t>.</w:t>
      </w:r>
      <w:r>
        <w:t xml:space="preserve">, 3072 total dual polarized elements) provide sufficient coverage for both DL and UL scenarios. </w:t>
      </w:r>
    </w:p>
    <w:p w14:paraId="343E982D" w14:textId="28B48BF8" w:rsidR="00F05747" w:rsidRDefault="00F05747" w:rsidP="00F05747">
      <w:pPr>
        <w:pStyle w:val="ListParagraph"/>
        <w:numPr>
          <w:ilvl w:val="0"/>
          <w:numId w:val="14"/>
        </w:numPr>
      </w:pPr>
      <w:r>
        <w:t xml:space="preserve">Channel bandwidth of 200MHz assumption does not provide observed coverage issues. </w:t>
      </w:r>
    </w:p>
    <w:p w14:paraId="2B08F14F" w14:textId="3F23EF65" w:rsidR="006B7020" w:rsidRDefault="00785337" w:rsidP="00E345D5">
      <w:pPr>
        <w:rPr>
          <w:b/>
          <w:bCs/>
        </w:rPr>
      </w:pPr>
      <w:r w:rsidRPr="00E345D5">
        <w:rPr>
          <w:b/>
          <w:bCs/>
          <w:u w:val="single"/>
        </w:rPr>
        <w:t>Observation 1</w:t>
      </w:r>
      <w:r w:rsidRPr="00E345D5">
        <w:rPr>
          <w:b/>
          <w:bCs/>
        </w:rPr>
        <w:t xml:space="preserve">: </w:t>
      </w:r>
      <w:r w:rsidR="00441111" w:rsidRPr="00E345D5">
        <w:rPr>
          <w:b/>
          <w:bCs/>
        </w:rPr>
        <w:t xml:space="preserve">No coverage issues </w:t>
      </w:r>
      <w:r w:rsidR="003264D7" w:rsidRPr="00E345D5">
        <w:rPr>
          <w:b/>
          <w:bCs/>
        </w:rPr>
        <w:t xml:space="preserve">(DL and UL) </w:t>
      </w:r>
      <w:r w:rsidR="00441111" w:rsidRPr="00E345D5">
        <w:rPr>
          <w:b/>
          <w:bCs/>
        </w:rPr>
        <w:t xml:space="preserve">are observed with </w:t>
      </w:r>
      <w:r w:rsidR="003264D7" w:rsidRPr="00E345D5">
        <w:rPr>
          <w:b/>
          <w:bCs/>
        </w:rPr>
        <w:t>the agreed BS AAS configuration (</w:t>
      </w:r>
      <w:r w:rsidR="00441111" w:rsidRPr="00E345D5">
        <w:rPr>
          <w:b/>
          <w:bCs/>
        </w:rPr>
        <w:t>3072 antenna elements</w:t>
      </w:r>
      <w:r w:rsidR="003264D7" w:rsidRPr="00E345D5">
        <w:rPr>
          <w:b/>
          <w:bCs/>
        </w:rPr>
        <w:t xml:space="preserve">, 16*24 URA with 4 elements per subarray) and </w:t>
      </w:r>
      <w:r w:rsidR="00E345D5" w:rsidRPr="00E345D5">
        <w:rPr>
          <w:b/>
          <w:bCs/>
        </w:rPr>
        <w:t xml:space="preserve">200 MHz channel bandwidth. </w:t>
      </w:r>
    </w:p>
    <w:p w14:paraId="57182B2D" w14:textId="17A7C160" w:rsidR="002F5CF1" w:rsidRDefault="002F5CF1" w:rsidP="00E345D5">
      <w:pPr>
        <w:rPr>
          <w:b/>
          <w:bCs/>
        </w:rPr>
      </w:pPr>
      <w:r w:rsidRPr="00C746A3">
        <w:rPr>
          <w:b/>
          <w:bCs/>
          <w:u w:val="single"/>
        </w:rPr>
        <w:t>Proposal 2</w:t>
      </w:r>
      <w:r>
        <w:rPr>
          <w:b/>
          <w:bCs/>
        </w:rPr>
        <w:t xml:space="preserve">: RAN4 to consider 3072 </w:t>
      </w:r>
      <w:r w:rsidR="003C4A00">
        <w:rPr>
          <w:b/>
          <w:bCs/>
        </w:rPr>
        <w:t xml:space="preserve">as total number of antenna elements </w:t>
      </w:r>
      <w:r>
        <w:rPr>
          <w:b/>
          <w:bCs/>
        </w:rPr>
        <w:t xml:space="preserve">and 200 MHz channel bandwidth </w:t>
      </w:r>
      <w:r w:rsidR="00C746A3">
        <w:rPr>
          <w:b/>
          <w:bCs/>
        </w:rPr>
        <w:t xml:space="preserve">since no coverage issues were observed. </w:t>
      </w:r>
      <w:r>
        <w:rPr>
          <w:b/>
          <w:bCs/>
        </w:rPr>
        <w:t xml:space="preserve"> </w:t>
      </w:r>
    </w:p>
    <w:p w14:paraId="0251E6F7" w14:textId="421CEF44" w:rsidR="007134A6" w:rsidRDefault="007134A6" w:rsidP="00E345D5">
      <w:r w:rsidRPr="007134A6">
        <w:t>In terms of the impact of the adjacent channel interference</w:t>
      </w:r>
      <w:r w:rsidR="00FA6EB0">
        <w:t xml:space="preserve">, Figure 2 presents the throughput loss% as a function of the ACIR for both downlink and uplink </w:t>
      </w:r>
      <w:r w:rsidR="00B80A6A">
        <w:t>in an UMa scenario</w:t>
      </w:r>
      <w:r w:rsidR="00C746A3">
        <w:t>, while considering uncoordinated deployment between the victim and aggressor deployments</w:t>
      </w:r>
      <w:r w:rsidR="00B80A6A">
        <w:t>. I</w:t>
      </w:r>
      <w:r w:rsidR="00EF3676">
        <w:t>t can be observed that in order to meet the 5% throughput loss degradation</w:t>
      </w:r>
      <w:r w:rsidR="0017184B">
        <w:t xml:space="preserve">, </w:t>
      </w:r>
      <w:r w:rsidR="0095683E">
        <w:t>ACIR values of 2</w:t>
      </w:r>
      <w:r w:rsidR="00E31530">
        <w:t>2</w:t>
      </w:r>
      <w:r w:rsidR="00805DEB">
        <w:t xml:space="preserve"> dB and 13 dB for downlink </w:t>
      </w:r>
      <w:r w:rsidR="002F5CF1">
        <w:t xml:space="preserve">and uplink, respectively. </w:t>
      </w:r>
    </w:p>
    <w:p w14:paraId="67968426" w14:textId="6D3E3A29" w:rsidR="00C746A3" w:rsidRPr="00A77BD1" w:rsidRDefault="003D1860" w:rsidP="00E345D5">
      <w:pPr>
        <w:rPr>
          <w:b/>
          <w:bCs/>
        </w:rPr>
      </w:pPr>
      <w:r w:rsidRPr="00A77BD1">
        <w:rPr>
          <w:b/>
          <w:bCs/>
          <w:u w:val="single"/>
        </w:rPr>
        <w:t>Observation 2</w:t>
      </w:r>
      <w:r w:rsidRPr="00A77BD1">
        <w:rPr>
          <w:b/>
          <w:bCs/>
        </w:rPr>
        <w:t xml:space="preserve">: </w:t>
      </w:r>
      <w:r w:rsidR="00A77BD1" w:rsidRPr="00A77BD1">
        <w:rPr>
          <w:b/>
          <w:bCs/>
        </w:rPr>
        <w:t>To meet the throughout threshold target, ACIR values of 2</w:t>
      </w:r>
      <w:r w:rsidR="00E31530">
        <w:rPr>
          <w:b/>
          <w:bCs/>
        </w:rPr>
        <w:t>2</w:t>
      </w:r>
      <w:r w:rsidR="00A77BD1" w:rsidRPr="00A77BD1">
        <w:rPr>
          <w:b/>
          <w:bCs/>
        </w:rPr>
        <w:t xml:space="preserve"> dB and 13 dB were observed for downlink and uplink, respectively, based on the latest agreed parameters. </w:t>
      </w:r>
    </w:p>
    <w:p w14:paraId="01E19FD8" w14:textId="77777777" w:rsidR="002F5CF1" w:rsidRPr="007134A6" w:rsidRDefault="002F5CF1" w:rsidP="00E345D5"/>
    <w:p w14:paraId="7F6A8769" w14:textId="77777777" w:rsidR="00CF4F13" w:rsidRDefault="00EF3676" w:rsidP="00CF4F13">
      <w:pPr>
        <w:keepNext/>
        <w:jc w:val="center"/>
      </w:pPr>
      <w:r w:rsidRPr="00EF3676">
        <w:rPr>
          <w:noProof/>
        </w:rPr>
        <w:drawing>
          <wp:inline distT="0" distB="0" distL="0" distR="0" wp14:anchorId="00721220" wp14:editId="6440D947">
            <wp:extent cx="3236595" cy="2418080"/>
            <wp:effectExtent l="0" t="0" r="0" b="1270"/>
            <wp:docPr id="2197425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6595" cy="2418080"/>
                    </a:xfrm>
                    <a:prstGeom prst="rect">
                      <a:avLst/>
                    </a:prstGeom>
                    <a:noFill/>
                    <a:ln>
                      <a:noFill/>
                    </a:ln>
                  </pic:spPr>
                </pic:pic>
              </a:graphicData>
            </a:graphic>
          </wp:inline>
        </w:drawing>
      </w:r>
    </w:p>
    <w:p w14:paraId="73C2EC74" w14:textId="5875E685" w:rsidR="00E345D5" w:rsidRDefault="00CF4F13" w:rsidP="00CF4F1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7D6EC8">
        <w:t xml:space="preserve"> </w:t>
      </w:r>
      <w:r>
        <w:t>Throughput loss</w:t>
      </w:r>
      <w:r w:rsidRPr="007D6EC8">
        <w:t xml:space="preserve"> for downlink and uplink</w:t>
      </w:r>
      <w:r>
        <w:t xml:space="preserve"> as function of ACIR. </w:t>
      </w:r>
    </w:p>
    <w:p w14:paraId="10AE77FD" w14:textId="77777777" w:rsidR="00DD4760" w:rsidRDefault="00DD4760" w:rsidP="007A0A6D"/>
    <w:p w14:paraId="24AD030E" w14:textId="0311769F" w:rsidR="007449DE" w:rsidRDefault="002F1836" w:rsidP="007A0A6D">
      <w:r>
        <w:lastRenderedPageBreak/>
        <w:t xml:space="preserve">In comparison to FR2-1, </w:t>
      </w:r>
      <w:r w:rsidR="003876D3">
        <w:t>Table below summarizes the different ACLR</w:t>
      </w:r>
      <w:r w:rsidR="002A11A2">
        <w:t xml:space="preserve"> for the different frequency ranges based on RAN4 RF requirements. It can be observed that the 15GHz ACIR values are comparable </w:t>
      </w:r>
      <w:r w:rsidR="000C53AB">
        <w:t xml:space="preserve">or even lower compared to FR2-1 frequency range. This is a </w:t>
      </w:r>
      <w:r w:rsidR="007A0A6D">
        <w:t>byproduct of the enhanced performance resulting from large antenna arrays deployed at the BS</w:t>
      </w:r>
      <w:r w:rsidR="000E539E">
        <w:t xml:space="preserve">, which leads to lower adjacent channel interference. </w:t>
      </w:r>
      <w:r w:rsidR="007A0A6D">
        <w:t xml:space="preserve">In comparison to Rel-17 work done on 10GHz, number of antennas at the BS side was assumed to be 16x8, whereas in [2], </w:t>
      </w:r>
      <w:r w:rsidR="000E539E">
        <w:t>3k</w:t>
      </w:r>
      <w:r w:rsidR="007A0A6D">
        <w:t xml:space="preserve"> element</w:t>
      </w:r>
      <w:r w:rsidR="000E539E">
        <w:t>s</w:t>
      </w:r>
      <w:r w:rsidR="007A0A6D">
        <w:t xml:space="preserve"> w</w:t>
      </w:r>
      <w:r w:rsidR="000E539E">
        <w:t>ere</w:t>
      </w:r>
      <w:r w:rsidR="007A0A6D">
        <w:t xml:space="preserve"> considered, resulting in </w:t>
      </w:r>
      <w:r w:rsidR="007449DE">
        <w:t>around</w:t>
      </w:r>
      <w:r w:rsidR="007A0A6D">
        <w:t xml:space="preserve"> 9 dBi</w:t>
      </w:r>
      <w:r w:rsidR="007449DE">
        <w:t xml:space="preserve"> difference in the directivity. </w:t>
      </w:r>
    </w:p>
    <w:p w14:paraId="5A175C82" w14:textId="08AB988D" w:rsidR="00DC637F" w:rsidRDefault="00DC637F" w:rsidP="00DC637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ACIR values for different frequency ranges</w:t>
      </w:r>
    </w:p>
    <w:tbl>
      <w:tblPr>
        <w:tblStyle w:val="TableGrid"/>
        <w:tblW w:w="8000" w:type="dxa"/>
        <w:jc w:val="center"/>
        <w:tblLook w:val="0420" w:firstRow="1" w:lastRow="0" w:firstColumn="0" w:lastColumn="0" w:noHBand="0" w:noVBand="1"/>
      </w:tblPr>
      <w:tblGrid>
        <w:gridCol w:w="1140"/>
        <w:gridCol w:w="1460"/>
        <w:gridCol w:w="2000"/>
        <w:gridCol w:w="1940"/>
        <w:gridCol w:w="1460"/>
      </w:tblGrid>
      <w:tr w:rsidR="00DD4760" w:rsidRPr="001633A5" w14:paraId="1ED31EA3" w14:textId="77777777" w:rsidTr="00215E08">
        <w:trPr>
          <w:trHeight w:val="528"/>
          <w:jc w:val="center"/>
        </w:trPr>
        <w:tc>
          <w:tcPr>
            <w:tcW w:w="1140" w:type="dxa"/>
            <w:vAlign w:val="center"/>
            <w:hideMark/>
          </w:tcPr>
          <w:p w14:paraId="72130035" w14:textId="77777777" w:rsidR="00DD4760" w:rsidRPr="001633A5" w:rsidRDefault="00DD4760" w:rsidP="00215E08">
            <w:pPr>
              <w:spacing w:after="120"/>
              <w:jc w:val="center"/>
              <w:rPr>
                <w:b/>
                <w:bCs/>
                <w:lang w:val="en-US"/>
              </w:rPr>
            </w:pPr>
            <w:r w:rsidRPr="001633A5">
              <w:rPr>
                <w:b/>
                <w:bCs/>
                <w:lang w:val="en-US"/>
              </w:rPr>
              <w:t>Range</w:t>
            </w:r>
          </w:p>
        </w:tc>
        <w:tc>
          <w:tcPr>
            <w:tcW w:w="1460" w:type="dxa"/>
            <w:vAlign w:val="center"/>
            <w:hideMark/>
          </w:tcPr>
          <w:p w14:paraId="5DFBF2E1" w14:textId="77777777" w:rsidR="00DD4760" w:rsidRPr="001633A5" w:rsidRDefault="00DD4760" w:rsidP="00215E08">
            <w:pPr>
              <w:spacing w:after="120"/>
              <w:jc w:val="center"/>
              <w:rPr>
                <w:b/>
                <w:bCs/>
                <w:lang w:val="en-US"/>
              </w:rPr>
            </w:pPr>
            <w:r w:rsidRPr="001633A5">
              <w:rPr>
                <w:b/>
                <w:bCs/>
                <w:lang w:val="en-US"/>
              </w:rPr>
              <w:t>Direction</w:t>
            </w:r>
          </w:p>
        </w:tc>
        <w:tc>
          <w:tcPr>
            <w:tcW w:w="2000" w:type="dxa"/>
            <w:vAlign w:val="center"/>
            <w:hideMark/>
          </w:tcPr>
          <w:p w14:paraId="25A184DF" w14:textId="77777777" w:rsidR="00DD4760" w:rsidRPr="001633A5" w:rsidRDefault="00DD4760" w:rsidP="00215E08">
            <w:pPr>
              <w:spacing w:after="120"/>
              <w:jc w:val="center"/>
              <w:rPr>
                <w:b/>
                <w:bCs/>
                <w:lang w:val="en-US"/>
              </w:rPr>
            </w:pPr>
            <w:r w:rsidRPr="001633A5">
              <w:rPr>
                <w:b/>
                <w:bCs/>
                <w:lang w:val="en-US"/>
              </w:rPr>
              <w:t>ACLR [dB]</w:t>
            </w:r>
          </w:p>
        </w:tc>
        <w:tc>
          <w:tcPr>
            <w:tcW w:w="1940" w:type="dxa"/>
            <w:vAlign w:val="center"/>
            <w:hideMark/>
          </w:tcPr>
          <w:p w14:paraId="40731E67" w14:textId="77777777" w:rsidR="00DD4760" w:rsidRPr="001633A5" w:rsidRDefault="00DD4760" w:rsidP="00215E08">
            <w:pPr>
              <w:spacing w:after="120"/>
              <w:jc w:val="center"/>
              <w:rPr>
                <w:b/>
                <w:bCs/>
                <w:lang w:val="en-US"/>
              </w:rPr>
            </w:pPr>
            <w:r w:rsidRPr="001633A5">
              <w:rPr>
                <w:b/>
                <w:bCs/>
                <w:lang w:val="en-US"/>
              </w:rPr>
              <w:t>ACS [dB]</w:t>
            </w:r>
          </w:p>
        </w:tc>
        <w:tc>
          <w:tcPr>
            <w:tcW w:w="1460" w:type="dxa"/>
            <w:vAlign w:val="center"/>
            <w:hideMark/>
          </w:tcPr>
          <w:p w14:paraId="1B622286" w14:textId="77777777" w:rsidR="00DD4760" w:rsidRPr="001633A5" w:rsidRDefault="00DD4760" w:rsidP="00215E08">
            <w:pPr>
              <w:spacing w:after="120"/>
              <w:jc w:val="center"/>
              <w:rPr>
                <w:b/>
                <w:bCs/>
                <w:lang w:val="en-US"/>
              </w:rPr>
            </w:pPr>
            <w:r w:rsidRPr="001633A5">
              <w:rPr>
                <w:b/>
                <w:bCs/>
                <w:lang w:val="en-US"/>
              </w:rPr>
              <w:t>ACIR [dB]</w:t>
            </w:r>
          </w:p>
        </w:tc>
      </w:tr>
      <w:tr w:rsidR="00DD4760" w:rsidRPr="001633A5" w14:paraId="2E7100C9" w14:textId="77777777" w:rsidTr="00215E08">
        <w:trPr>
          <w:trHeight w:val="309"/>
          <w:jc w:val="center"/>
        </w:trPr>
        <w:tc>
          <w:tcPr>
            <w:tcW w:w="1140" w:type="dxa"/>
            <w:vMerge w:val="restart"/>
            <w:shd w:val="clear" w:color="auto" w:fill="BFBFBF" w:themeFill="background1" w:themeFillShade="BF"/>
            <w:vAlign w:val="center"/>
            <w:hideMark/>
          </w:tcPr>
          <w:p w14:paraId="244B1049" w14:textId="77777777" w:rsidR="00DD4760" w:rsidRPr="001633A5" w:rsidRDefault="00DD4760" w:rsidP="00215E08">
            <w:pPr>
              <w:spacing w:after="120"/>
              <w:jc w:val="center"/>
              <w:rPr>
                <w:b/>
                <w:bCs/>
                <w:lang w:val="en-US"/>
              </w:rPr>
            </w:pPr>
            <w:r w:rsidRPr="001633A5">
              <w:rPr>
                <w:b/>
                <w:bCs/>
                <w:lang w:val="en-US"/>
              </w:rPr>
              <w:t>FR1</w:t>
            </w:r>
          </w:p>
        </w:tc>
        <w:tc>
          <w:tcPr>
            <w:tcW w:w="1460" w:type="dxa"/>
            <w:shd w:val="clear" w:color="auto" w:fill="BFBFBF" w:themeFill="background1" w:themeFillShade="BF"/>
            <w:vAlign w:val="center"/>
            <w:hideMark/>
          </w:tcPr>
          <w:p w14:paraId="6EBC756B" w14:textId="77777777" w:rsidR="00DD4760" w:rsidRPr="001633A5" w:rsidRDefault="00DD4760" w:rsidP="00215E08">
            <w:pPr>
              <w:spacing w:after="120"/>
              <w:jc w:val="center"/>
              <w:rPr>
                <w:b/>
                <w:bCs/>
                <w:lang w:val="en-US"/>
              </w:rPr>
            </w:pPr>
            <w:r w:rsidRPr="001633A5">
              <w:rPr>
                <w:b/>
                <w:bCs/>
                <w:lang w:val="en-US"/>
              </w:rPr>
              <w:t>UL</w:t>
            </w:r>
          </w:p>
        </w:tc>
        <w:tc>
          <w:tcPr>
            <w:tcW w:w="2000" w:type="dxa"/>
            <w:shd w:val="clear" w:color="auto" w:fill="BFBFBF" w:themeFill="background1" w:themeFillShade="BF"/>
            <w:vAlign w:val="center"/>
            <w:hideMark/>
          </w:tcPr>
          <w:p w14:paraId="4EF16CDA" w14:textId="77777777" w:rsidR="00DD4760" w:rsidRPr="001633A5" w:rsidRDefault="00DD4760" w:rsidP="00215E08">
            <w:pPr>
              <w:spacing w:after="120"/>
              <w:jc w:val="center"/>
              <w:rPr>
                <w:b/>
                <w:bCs/>
                <w:lang w:val="en-US"/>
              </w:rPr>
            </w:pPr>
            <w:r w:rsidRPr="001633A5">
              <w:rPr>
                <w:b/>
                <w:bCs/>
                <w:lang w:val="en-US"/>
              </w:rPr>
              <w:t>UE ACLR: 30</w:t>
            </w:r>
          </w:p>
        </w:tc>
        <w:tc>
          <w:tcPr>
            <w:tcW w:w="1940" w:type="dxa"/>
            <w:shd w:val="clear" w:color="auto" w:fill="BFBFBF" w:themeFill="background1" w:themeFillShade="BF"/>
            <w:vAlign w:val="center"/>
            <w:hideMark/>
          </w:tcPr>
          <w:p w14:paraId="1EE9BF17" w14:textId="77777777" w:rsidR="00DD4760" w:rsidRPr="001633A5" w:rsidRDefault="00DD4760" w:rsidP="00215E08">
            <w:pPr>
              <w:spacing w:after="120"/>
              <w:jc w:val="center"/>
              <w:rPr>
                <w:b/>
                <w:bCs/>
                <w:lang w:val="en-US"/>
              </w:rPr>
            </w:pPr>
            <w:r w:rsidRPr="001633A5">
              <w:rPr>
                <w:b/>
                <w:bCs/>
                <w:lang w:val="en-US"/>
              </w:rPr>
              <w:t>BS ACS: 46</w:t>
            </w:r>
          </w:p>
        </w:tc>
        <w:tc>
          <w:tcPr>
            <w:tcW w:w="1460" w:type="dxa"/>
            <w:shd w:val="clear" w:color="auto" w:fill="BFBFBF" w:themeFill="background1" w:themeFillShade="BF"/>
            <w:vAlign w:val="center"/>
            <w:hideMark/>
          </w:tcPr>
          <w:p w14:paraId="08548B4F" w14:textId="77777777" w:rsidR="00DD4760" w:rsidRPr="001633A5" w:rsidRDefault="00DD4760" w:rsidP="00215E08">
            <w:pPr>
              <w:spacing w:after="120"/>
              <w:jc w:val="center"/>
              <w:rPr>
                <w:b/>
                <w:bCs/>
                <w:lang w:val="en-US"/>
              </w:rPr>
            </w:pPr>
            <w:r w:rsidRPr="001633A5">
              <w:rPr>
                <w:b/>
                <w:bCs/>
                <w:lang w:val="en-US"/>
              </w:rPr>
              <w:t>~29</w:t>
            </w:r>
          </w:p>
        </w:tc>
      </w:tr>
      <w:tr w:rsidR="00DD4760" w:rsidRPr="001633A5" w14:paraId="539E6C57" w14:textId="77777777" w:rsidTr="00215E08">
        <w:trPr>
          <w:trHeight w:val="285"/>
          <w:jc w:val="center"/>
        </w:trPr>
        <w:tc>
          <w:tcPr>
            <w:tcW w:w="0" w:type="auto"/>
            <w:vMerge/>
            <w:shd w:val="clear" w:color="auto" w:fill="BFBFBF" w:themeFill="background1" w:themeFillShade="BF"/>
            <w:vAlign w:val="center"/>
            <w:hideMark/>
          </w:tcPr>
          <w:p w14:paraId="4037E381" w14:textId="77777777" w:rsidR="00DD4760" w:rsidRPr="001633A5" w:rsidRDefault="00DD4760" w:rsidP="00215E08">
            <w:pPr>
              <w:spacing w:after="120"/>
              <w:jc w:val="center"/>
              <w:rPr>
                <w:b/>
                <w:bCs/>
                <w:lang w:val="en-US"/>
              </w:rPr>
            </w:pPr>
          </w:p>
        </w:tc>
        <w:tc>
          <w:tcPr>
            <w:tcW w:w="1460" w:type="dxa"/>
            <w:shd w:val="clear" w:color="auto" w:fill="BFBFBF" w:themeFill="background1" w:themeFillShade="BF"/>
            <w:vAlign w:val="center"/>
            <w:hideMark/>
          </w:tcPr>
          <w:p w14:paraId="3B1FA674" w14:textId="77777777" w:rsidR="00DD4760" w:rsidRPr="001633A5" w:rsidRDefault="00DD4760" w:rsidP="00215E08">
            <w:pPr>
              <w:spacing w:after="120"/>
              <w:jc w:val="center"/>
              <w:rPr>
                <w:b/>
                <w:bCs/>
                <w:lang w:val="en-US"/>
              </w:rPr>
            </w:pPr>
            <w:r w:rsidRPr="001633A5">
              <w:rPr>
                <w:b/>
                <w:bCs/>
                <w:lang w:val="en-US"/>
              </w:rPr>
              <w:t>DL</w:t>
            </w:r>
          </w:p>
        </w:tc>
        <w:tc>
          <w:tcPr>
            <w:tcW w:w="2000" w:type="dxa"/>
            <w:shd w:val="clear" w:color="auto" w:fill="BFBFBF" w:themeFill="background1" w:themeFillShade="BF"/>
            <w:vAlign w:val="center"/>
            <w:hideMark/>
          </w:tcPr>
          <w:p w14:paraId="48417AC5" w14:textId="77777777" w:rsidR="00DD4760" w:rsidRPr="001633A5" w:rsidRDefault="00DD4760" w:rsidP="00215E08">
            <w:pPr>
              <w:spacing w:after="120"/>
              <w:jc w:val="center"/>
              <w:rPr>
                <w:b/>
                <w:bCs/>
                <w:lang w:val="en-US"/>
              </w:rPr>
            </w:pPr>
            <w:r w:rsidRPr="001633A5">
              <w:rPr>
                <w:b/>
                <w:bCs/>
                <w:lang w:val="en-US"/>
              </w:rPr>
              <w:t>BS ACLR: 45</w:t>
            </w:r>
          </w:p>
        </w:tc>
        <w:tc>
          <w:tcPr>
            <w:tcW w:w="1940" w:type="dxa"/>
            <w:shd w:val="clear" w:color="auto" w:fill="BFBFBF" w:themeFill="background1" w:themeFillShade="BF"/>
            <w:vAlign w:val="center"/>
            <w:hideMark/>
          </w:tcPr>
          <w:p w14:paraId="130FAE1D" w14:textId="77777777" w:rsidR="00DD4760" w:rsidRPr="001633A5" w:rsidRDefault="00DD4760" w:rsidP="00215E08">
            <w:pPr>
              <w:spacing w:after="120"/>
              <w:jc w:val="center"/>
              <w:rPr>
                <w:b/>
                <w:bCs/>
                <w:lang w:val="en-US"/>
              </w:rPr>
            </w:pPr>
            <w:r w:rsidRPr="001633A5">
              <w:rPr>
                <w:b/>
                <w:bCs/>
                <w:lang w:val="en-US"/>
              </w:rPr>
              <w:t>UE ACS: 33</w:t>
            </w:r>
          </w:p>
        </w:tc>
        <w:tc>
          <w:tcPr>
            <w:tcW w:w="1460" w:type="dxa"/>
            <w:shd w:val="clear" w:color="auto" w:fill="BFBFBF" w:themeFill="background1" w:themeFillShade="BF"/>
            <w:vAlign w:val="center"/>
            <w:hideMark/>
          </w:tcPr>
          <w:p w14:paraId="5B973A24" w14:textId="77777777" w:rsidR="00DD4760" w:rsidRPr="001633A5" w:rsidRDefault="00DD4760" w:rsidP="00215E08">
            <w:pPr>
              <w:spacing w:after="120"/>
              <w:jc w:val="center"/>
              <w:rPr>
                <w:b/>
                <w:bCs/>
                <w:lang w:val="en-US"/>
              </w:rPr>
            </w:pPr>
            <w:r w:rsidRPr="001633A5">
              <w:rPr>
                <w:b/>
                <w:bCs/>
                <w:lang w:val="en-US"/>
              </w:rPr>
              <w:t>~33</w:t>
            </w:r>
          </w:p>
        </w:tc>
      </w:tr>
      <w:tr w:rsidR="00DD4760" w:rsidRPr="001633A5" w14:paraId="2F5C51D2" w14:textId="77777777" w:rsidTr="00215E08">
        <w:trPr>
          <w:trHeight w:val="261"/>
          <w:jc w:val="center"/>
        </w:trPr>
        <w:tc>
          <w:tcPr>
            <w:tcW w:w="1140" w:type="dxa"/>
            <w:vMerge w:val="restart"/>
            <w:shd w:val="clear" w:color="auto" w:fill="E2EFD9" w:themeFill="accent6" w:themeFillTint="33"/>
            <w:vAlign w:val="center"/>
            <w:hideMark/>
          </w:tcPr>
          <w:p w14:paraId="7FAF29B5" w14:textId="77777777" w:rsidR="00DD4760" w:rsidRPr="001633A5" w:rsidRDefault="00DD4760" w:rsidP="00215E08">
            <w:pPr>
              <w:spacing w:after="120"/>
              <w:jc w:val="center"/>
              <w:rPr>
                <w:b/>
                <w:bCs/>
                <w:lang w:val="en-US"/>
              </w:rPr>
            </w:pPr>
            <w:r w:rsidRPr="001633A5">
              <w:rPr>
                <w:b/>
                <w:bCs/>
                <w:lang w:val="en-US"/>
              </w:rPr>
              <w:t>FR2</w:t>
            </w:r>
          </w:p>
        </w:tc>
        <w:tc>
          <w:tcPr>
            <w:tcW w:w="1460" w:type="dxa"/>
            <w:shd w:val="clear" w:color="auto" w:fill="E2EFD9" w:themeFill="accent6" w:themeFillTint="33"/>
            <w:vAlign w:val="center"/>
            <w:hideMark/>
          </w:tcPr>
          <w:p w14:paraId="7DDFF85D" w14:textId="77777777" w:rsidR="00DD4760" w:rsidRPr="001633A5" w:rsidRDefault="00DD4760" w:rsidP="00215E08">
            <w:pPr>
              <w:spacing w:after="120"/>
              <w:jc w:val="center"/>
              <w:rPr>
                <w:b/>
                <w:bCs/>
                <w:lang w:val="en-US"/>
              </w:rPr>
            </w:pPr>
            <w:r w:rsidRPr="001633A5">
              <w:rPr>
                <w:b/>
                <w:bCs/>
                <w:lang w:val="en-US"/>
              </w:rPr>
              <w:t>UL</w:t>
            </w:r>
          </w:p>
        </w:tc>
        <w:tc>
          <w:tcPr>
            <w:tcW w:w="2000" w:type="dxa"/>
            <w:shd w:val="clear" w:color="auto" w:fill="E2EFD9" w:themeFill="accent6" w:themeFillTint="33"/>
            <w:vAlign w:val="center"/>
            <w:hideMark/>
          </w:tcPr>
          <w:p w14:paraId="1448127B" w14:textId="77777777" w:rsidR="00DD4760" w:rsidRPr="001633A5" w:rsidRDefault="00DD4760" w:rsidP="00215E08">
            <w:pPr>
              <w:spacing w:after="120"/>
              <w:jc w:val="center"/>
              <w:rPr>
                <w:b/>
                <w:bCs/>
                <w:lang w:val="en-US"/>
              </w:rPr>
            </w:pPr>
            <w:r w:rsidRPr="001633A5">
              <w:rPr>
                <w:b/>
                <w:bCs/>
                <w:lang w:val="en-US"/>
              </w:rPr>
              <w:t>UE ACLR: 17</w:t>
            </w:r>
          </w:p>
        </w:tc>
        <w:tc>
          <w:tcPr>
            <w:tcW w:w="1940" w:type="dxa"/>
            <w:shd w:val="clear" w:color="auto" w:fill="E2EFD9" w:themeFill="accent6" w:themeFillTint="33"/>
            <w:vAlign w:val="center"/>
            <w:hideMark/>
          </w:tcPr>
          <w:p w14:paraId="2BF9B48E" w14:textId="77777777" w:rsidR="00DD4760" w:rsidRPr="001633A5" w:rsidRDefault="00DD4760" w:rsidP="00215E08">
            <w:pPr>
              <w:spacing w:after="120"/>
              <w:jc w:val="center"/>
              <w:rPr>
                <w:b/>
                <w:bCs/>
                <w:lang w:val="en-US"/>
              </w:rPr>
            </w:pPr>
            <w:r w:rsidRPr="001633A5">
              <w:rPr>
                <w:b/>
                <w:bCs/>
                <w:lang w:val="en-US"/>
              </w:rPr>
              <w:t>BS ACS: 23.5</w:t>
            </w:r>
          </w:p>
        </w:tc>
        <w:tc>
          <w:tcPr>
            <w:tcW w:w="1460" w:type="dxa"/>
            <w:shd w:val="clear" w:color="auto" w:fill="E2EFD9" w:themeFill="accent6" w:themeFillTint="33"/>
            <w:vAlign w:val="center"/>
            <w:hideMark/>
          </w:tcPr>
          <w:p w14:paraId="25906415" w14:textId="77777777" w:rsidR="00DD4760" w:rsidRPr="001633A5" w:rsidRDefault="00DD4760" w:rsidP="00215E08">
            <w:pPr>
              <w:spacing w:after="120"/>
              <w:jc w:val="center"/>
              <w:rPr>
                <w:b/>
                <w:bCs/>
                <w:lang w:val="en-US"/>
              </w:rPr>
            </w:pPr>
            <w:r w:rsidRPr="001633A5">
              <w:rPr>
                <w:b/>
                <w:bCs/>
                <w:lang w:val="en-US"/>
              </w:rPr>
              <w:t>~16</w:t>
            </w:r>
          </w:p>
        </w:tc>
      </w:tr>
      <w:tr w:rsidR="00DD4760" w:rsidRPr="001633A5" w14:paraId="39382B91" w14:textId="77777777" w:rsidTr="00215E08">
        <w:trPr>
          <w:trHeight w:val="279"/>
          <w:jc w:val="center"/>
        </w:trPr>
        <w:tc>
          <w:tcPr>
            <w:tcW w:w="0" w:type="auto"/>
            <w:vMerge/>
            <w:shd w:val="clear" w:color="auto" w:fill="E2EFD9" w:themeFill="accent6" w:themeFillTint="33"/>
            <w:vAlign w:val="center"/>
            <w:hideMark/>
          </w:tcPr>
          <w:p w14:paraId="03BBB71D" w14:textId="77777777" w:rsidR="00DD4760" w:rsidRPr="001633A5" w:rsidRDefault="00DD4760" w:rsidP="00215E08">
            <w:pPr>
              <w:spacing w:after="120"/>
              <w:jc w:val="center"/>
              <w:rPr>
                <w:b/>
                <w:bCs/>
                <w:lang w:val="en-US"/>
              </w:rPr>
            </w:pPr>
          </w:p>
        </w:tc>
        <w:tc>
          <w:tcPr>
            <w:tcW w:w="1460" w:type="dxa"/>
            <w:shd w:val="clear" w:color="auto" w:fill="E2EFD9" w:themeFill="accent6" w:themeFillTint="33"/>
            <w:vAlign w:val="center"/>
            <w:hideMark/>
          </w:tcPr>
          <w:p w14:paraId="536C947F" w14:textId="77777777" w:rsidR="00DD4760" w:rsidRPr="001633A5" w:rsidRDefault="00DD4760" w:rsidP="00215E08">
            <w:pPr>
              <w:spacing w:after="120"/>
              <w:jc w:val="center"/>
              <w:rPr>
                <w:b/>
                <w:bCs/>
                <w:lang w:val="en-US"/>
              </w:rPr>
            </w:pPr>
            <w:r w:rsidRPr="001633A5">
              <w:rPr>
                <w:b/>
                <w:bCs/>
                <w:lang w:val="en-US"/>
              </w:rPr>
              <w:t>DL</w:t>
            </w:r>
          </w:p>
        </w:tc>
        <w:tc>
          <w:tcPr>
            <w:tcW w:w="2000" w:type="dxa"/>
            <w:shd w:val="clear" w:color="auto" w:fill="E2EFD9" w:themeFill="accent6" w:themeFillTint="33"/>
            <w:vAlign w:val="center"/>
            <w:hideMark/>
          </w:tcPr>
          <w:p w14:paraId="0789B87D" w14:textId="77777777" w:rsidR="00DD4760" w:rsidRPr="001633A5" w:rsidRDefault="00DD4760" w:rsidP="00215E08">
            <w:pPr>
              <w:spacing w:after="120"/>
              <w:jc w:val="center"/>
              <w:rPr>
                <w:b/>
                <w:bCs/>
                <w:lang w:val="en-US"/>
              </w:rPr>
            </w:pPr>
            <w:r w:rsidRPr="001633A5">
              <w:rPr>
                <w:b/>
                <w:bCs/>
                <w:lang w:val="en-US"/>
              </w:rPr>
              <w:t>BS ACLR: 28</w:t>
            </w:r>
          </w:p>
        </w:tc>
        <w:tc>
          <w:tcPr>
            <w:tcW w:w="1940" w:type="dxa"/>
            <w:shd w:val="clear" w:color="auto" w:fill="E2EFD9" w:themeFill="accent6" w:themeFillTint="33"/>
            <w:vAlign w:val="center"/>
            <w:hideMark/>
          </w:tcPr>
          <w:p w14:paraId="4977398C" w14:textId="77777777" w:rsidR="00DD4760" w:rsidRPr="001633A5" w:rsidRDefault="00DD4760" w:rsidP="00215E08">
            <w:pPr>
              <w:spacing w:after="120"/>
              <w:jc w:val="center"/>
              <w:rPr>
                <w:b/>
                <w:bCs/>
                <w:lang w:val="en-US"/>
              </w:rPr>
            </w:pPr>
            <w:r w:rsidRPr="001633A5">
              <w:rPr>
                <w:b/>
                <w:bCs/>
                <w:lang w:val="en-US"/>
              </w:rPr>
              <w:t>UE ACS: 23</w:t>
            </w:r>
          </w:p>
        </w:tc>
        <w:tc>
          <w:tcPr>
            <w:tcW w:w="1460" w:type="dxa"/>
            <w:shd w:val="clear" w:color="auto" w:fill="E2EFD9" w:themeFill="accent6" w:themeFillTint="33"/>
            <w:vAlign w:val="center"/>
            <w:hideMark/>
          </w:tcPr>
          <w:p w14:paraId="7DE79B27" w14:textId="77777777" w:rsidR="00DD4760" w:rsidRPr="001633A5" w:rsidRDefault="00DD4760" w:rsidP="00215E08">
            <w:pPr>
              <w:spacing w:after="120"/>
              <w:jc w:val="center"/>
              <w:rPr>
                <w:b/>
                <w:bCs/>
                <w:lang w:val="en-US"/>
              </w:rPr>
            </w:pPr>
            <w:r w:rsidRPr="001633A5">
              <w:rPr>
                <w:b/>
                <w:bCs/>
                <w:lang w:val="en-US"/>
              </w:rPr>
              <w:t>~22</w:t>
            </w:r>
          </w:p>
        </w:tc>
      </w:tr>
      <w:tr w:rsidR="00DD4760" w:rsidRPr="001633A5" w14:paraId="3F975C14" w14:textId="77777777" w:rsidTr="00215E08">
        <w:trPr>
          <w:trHeight w:val="127"/>
          <w:jc w:val="center"/>
        </w:trPr>
        <w:tc>
          <w:tcPr>
            <w:tcW w:w="1140" w:type="dxa"/>
            <w:vMerge w:val="restart"/>
            <w:shd w:val="clear" w:color="auto" w:fill="FBE4D5" w:themeFill="accent2" w:themeFillTint="33"/>
            <w:vAlign w:val="center"/>
            <w:hideMark/>
          </w:tcPr>
          <w:p w14:paraId="3AEC3204" w14:textId="77777777" w:rsidR="00DD4760" w:rsidRPr="001633A5" w:rsidRDefault="00DD4760" w:rsidP="00215E08">
            <w:pPr>
              <w:spacing w:after="120"/>
              <w:jc w:val="center"/>
              <w:rPr>
                <w:b/>
                <w:bCs/>
                <w:lang w:val="en-US"/>
              </w:rPr>
            </w:pPr>
            <w:r>
              <w:rPr>
                <w:b/>
                <w:bCs/>
                <w:lang w:val="en-US"/>
              </w:rPr>
              <w:t>15GHz</w:t>
            </w:r>
          </w:p>
        </w:tc>
        <w:tc>
          <w:tcPr>
            <w:tcW w:w="1460" w:type="dxa"/>
            <w:shd w:val="clear" w:color="auto" w:fill="FBE4D5" w:themeFill="accent2" w:themeFillTint="33"/>
            <w:vAlign w:val="center"/>
            <w:hideMark/>
          </w:tcPr>
          <w:p w14:paraId="1247A337" w14:textId="77777777" w:rsidR="00DD4760" w:rsidRPr="001633A5" w:rsidRDefault="00DD4760" w:rsidP="00215E08">
            <w:pPr>
              <w:spacing w:after="120"/>
              <w:jc w:val="center"/>
              <w:rPr>
                <w:b/>
                <w:bCs/>
                <w:lang w:val="en-US"/>
              </w:rPr>
            </w:pPr>
            <w:r w:rsidRPr="001633A5">
              <w:rPr>
                <w:b/>
                <w:bCs/>
                <w:lang w:val="en-US"/>
              </w:rPr>
              <w:t>UL</w:t>
            </w:r>
          </w:p>
        </w:tc>
        <w:tc>
          <w:tcPr>
            <w:tcW w:w="2000" w:type="dxa"/>
            <w:shd w:val="clear" w:color="auto" w:fill="FBE4D5" w:themeFill="accent2" w:themeFillTint="33"/>
            <w:vAlign w:val="center"/>
            <w:hideMark/>
          </w:tcPr>
          <w:p w14:paraId="614D2DB3" w14:textId="77777777" w:rsidR="00DD4760" w:rsidRPr="001633A5" w:rsidRDefault="00DD4760" w:rsidP="00215E08">
            <w:pPr>
              <w:spacing w:after="120"/>
              <w:jc w:val="center"/>
              <w:rPr>
                <w:b/>
                <w:bCs/>
                <w:highlight w:val="yellow"/>
                <w:lang w:val="en-US"/>
              </w:rPr>
            </w:pPr>
            <w:r w:rsidRPr="001633A5">
              <w:rPr>
                <w:b/>
                <w:bCs/>
                <w:highlight w:val="yellow"/>
                <w:lang w:val="en-US"/>
              </w:rPr>
              <w:t>UE ACLR:24</w:t>
            </w:r>
          </w:p>
        </w:tc>
        <w:tc>
          <w:tcPr>
            <w:tcW w:w="1940" w:type="dxa"/>
            <w:shd w:val="clear" w:color="auto" w:fill="FBE4D5" w:themeFill="accent2" w:themeFillTint="33"/>
            <w:vAlign w:val="center"/>
            <w:hideMark/>
          </w:tcPr>
          <w:p w14:paraId="68DF191F" w14:textId="644F475E" w:rsidR="00DD4760" w:rsidRPr="001633A5" w:rsidRDefault="00DD4760" w:rsidP="00215E08">
            <w:pPr>
              <w:spacing w:after="120"/>
              <w:jc w:val="center"/>
              <w:rPr>
                <w:b/>
                <w:bCs/>
                <w:highlight w:val="yellow"/>
                <w:lang w:val="en-US"/>
              </w:rPr>
            </w:pPr>
            <w:r w:rsidRPr="001633A5">
              <w:rPr>
                <w:b/>
                <w:bCs/>
                <w:highlight w:val="yellow"/>
                <w:lang w:val="en-US"/>
              </w:rPr>
              <w:t>BS ACS:</w:t>
            </w:r>
            <w:r w:rsidR="004317B6">
              <w:rPr>
                <w:b/>
                <w:bCs/>
                <w:highlight w:val="yellow"/>
                <w:lang w:val="en-US"/>
              </w:rPr>
              <w:t>TBD</w:t>
            </w:r>
          </w:p>
        </w:tc>
        <w:tc>
          <w:tcPr>
            <w:tcW w:w="1460" w:type="dxa"/>
            <w:shd w:val="clear" w:color="auto" w:fill="FBE4D5" w:themeFill="accent2" w:themeFillTint="33"/>
            <w:vAlign w:val="center"/>
            <w:hideMark/>
          </w:tcPr>
          <w:p w14:paraId="51D3A615" w14:textId="77777777" w:rsidR="00DD4760" w:rsidRPr="001633A5" w:rsidRDefault="00DD4760" w:rsidP="00215E08">
            <w:pPr>
              <w:spacing w:after="120"/>
              <w:jc w:val="center"/>
              <w:rPr>
                <w:b/>
                <w:bCs/>
                <w:lang w:val="en-US"/>
              </w:rPr>
            </w:pPr>
            <w:r w:rsidRPr="001633A5">
              <w:rPr>
                <w:b/>
                <w:bCs/>
                <w:lang w:val="en-US"/>
              </w:rPr>
              <w:t>~13</w:t>
            </w:r>
          </w:p>
        </w:tc>
      </w:tr>
      <w:tr w:rsidR="00DD4760" w:rsidRPr="001633A5" w14:paraId="70B17715" w14:textId="77777777" w:rsidTr="00215E08">
        <w:trPr>
          <w:trHeight w:val="173"/>
          <w:jc w:val="center"/>
        </w:trPr>
        <w:tc>
          <w:tcPr>
            <w:tcW w:w="0" w:type="auto"/>
            <w:vMerge/>
            <w:shd w:val="clear" w:color="auto" w:fill="FBE4D5" w:themeFill="accent2" w:themeFillTint="33"/>
            <w:vAlign w:val="center"/>
            <w:hideMark/>
          </w:tcPr>
          <w:p w14:paraId="2CB44D0C" w14:textId="77777777" w:rsidR="00DD4760" w:rsidRPr="001633A5" w:rsidRDefault="00DD4760" w:rsidP="00215E08">
            <w:pPr>
              <w:spacing w:after="120"/>
              <w:jc w:val="center"/>
              <w:rPr>
                <w:b/>
                <w:bCs/>
                <w:lang w:val="en-US"/>
              </w:rPr>
            </w:pPr>
          </w:p>
        </w:tc>
        <w:tc>
          <w:tcPr>
            <w:tcW w:w="1460" w:type="dxa"/>
            <w:shd w:val="clear" w:color="auto" w:fill="FBE4D5" w:themeFill="accent2" w:themeFillTint="33"/>
            <w:vAlign w:val="center"/>
            <w:hideMark/>
          </w:tcPr>
          <w:p w14:paraId="1BFCA0C6" w14:textId="77777777" w:rsidR="00DD4760" w:rsidRPr="001633A5" w:rsidRDefault="00DD4760" w:rsidP="00215E08">
            <w:pPr>
              <w:spacing w:after="120"/>
              <w:jc w:val="center"/>
              <w:rPr>
                <w:b/>
                <w:bCs/>
                <w:lang w:val="en-US"/>
              </w:rPr>
            </w:pPr>
            <w:r w:rsidRPr="001633A5">
              <w:rPr>
                <w:b/>
                <w:bCs/>
                <w:lang w:val="en-US"/>
              </w:rPr>
              <w:t>DL</w:t>
            </w:r>
          </w:p>
        </w:tc>
        <w:tc>
          <w:tcPr>
            <w:tcW w:w="2000" w:type="dxa"/>
            <w:shd w:val="clear" w:color="auto" w:fill="FBE4D5" w:themeFill="accent2" w:themeFillTint="33"/>
            <w:vAlign w:val="center"/>
            <w:hideMark/>
          </w:tcPr>
          <w:p w14:paraId="45B0967C" w14:textId="77777777" w:rsidR="00DD4760" w:rsidRPr="001633A5" w:rsidRDefault="00DD4760" w:rsidP="00215E08">
            <w:pPr>
              <w:spacing w:after="120"/>
              <w:jc w:val="center"/>
              <w:rPr>
                <w:b/>
                <w:bCs/>
                <w:highlight w:val="yellow"/>
                <w:lang w:val="en-US"/>
              </w:rPr>
            </w:pPr>
            <w:r w:rsidRPr="001633A5">
              <w:rPr>
                <w:b/>
                <w:bCs/>
                <w:highlight w:val="yellow"/>
                <w:lang w:val="en-US"/>
              </w:rPr>
              <w:t>BS ACLR:2</w:t>
            </w:r>
            <w:r w:rsidRPr="00A04D9E">
              <w:rPr>
                <w:b/>
                <w:bCs/>
                <w:highlight w:val="yellow"/>
                <w:lang w:val="en-US"/>
              </w:rPr>
              <w:t>7</w:t>
            </w:r>
          </w:p>
        </w:tc>
        <w:tc>
          <w:tcPr>
            <w:tcW w:w="1940" w:type="dxa"/>
            <w:shd w:val="clear" w:color="auto" w:fill="FBE4D5" w:themeFill="accent2" w:themeFillTint="33"/>
            <w:vAlign w:val="center"/>
            <w:hideMark/>
          </w:tcPr>
          <w:p w14:paraId="2289E29F" w14:textId="77777777" w:rsidR="00DD4760" w:rsidRPr="001633A5" w:rsidRDefault="00DD4760" w:rsidP="00215E08">
            <w:pPr>
              <w:spacing w:after="120"/>
              <w:jc w:val="center"/>
              <w:rPr>
                <w:b/>
                <w:bCs/>
                <w:highlight w:val="yellow"/>
                <w:lang w:val="en-US"/>
              </w:rPr>
            </w:pPr>
            <w:r w:rsidRPr="001633A5">
              <w:rPr>
                <w:b/>
                <w:bCs/>
                <w:highlight w:val="yellow"/>
                <w:lang w:val="en-US"/>
              </w:rPr>
              <w:t>UE ACS:2</w:t>
            </w:r>
            <w:r w:rsidRPr="00A04D9E">
              <w:rPr>
                <w:b/>
                <w:bCs/>
                <w:highlight w:val="yellow"/>
                <w:lang w:val="en-US"/>
              </w:rPr>
              <w:t>4</w:t>
            </w:r>
          </w:p>
        </w:tc>
        <w:tc>
          <w:tcPr>
            <w:tcW w:w="1460" w:type="dxa"/>
            <w:shd w:val="clear" w:color="auto" w:fill="FBE4D5" w:themeFill="accent2" w:themeFillTint="33"/>
            <w:vAlign w:val="center"/>
            <w:hideMark/>
          </w:tcPr>
          <w:p w14:paraId="1EC7C3DB" w14:textId="77777777" w:rsidR="00DD4760" w:rsidRPr="001633A5" w:rsidRDefault="00DD4760" w:rsidP="00215E08">
            <w:pPr>
              <w:spacing w:after="120"/>
              <w:jc w:val="center"/>
              <w:rPr>
                <w:b/>
                <w:bCs/>
                <w:lang w:val="en-US"/>
              </w:rPr>
            </w:pPr>
            <w:r w:rsidRPr="001633A5">
              <w:rPr>
                <w:b/>
                <w:bCs/>
                <w:lang w:val="en-US"/>
              </w:rPr>
              <w:t>~2</w:t>
            </w:r>
            <w:r>
              <w:rPr>
                <w:b/>
                <w:bCs/>
                <w:lang w:val="en-US"/>
              </w:rPr>
              <w:t>2</w:t>
            </w:r>
          </w:p>
        </w:tc>
      </w:tr>
    </w:tbl>
    <w:p w14:paraId="3320B38E" w14:textId="77777777" w:rsidR="007E69AE" w:rsidRDefault="007E69AE" w:rsidP="007E69AE">
      <w:pPr>
        <w:rPr>
          <w:b/>
          <w:bCs/>
          <w:u w:val="single"/>
        </w:rPr>
      </w:pPr>
    </w:p>
    <w:p w14:paraId="17A64E67" w14:textId="2D3DB39F" w:rsidR="007E69AE" w:rsidRDefault="007E69AE" w:rsidP="007E69AE">
      <w:pPr>
        <w:rPr>
          <w:b/>
          <w:bCs/>
        </w:rPr>
      </w:pPr>
      <w:r w:rsidRPr="00EC4484">
        <w:rPr>
          <w:b/>
          <w:bCs/>
          <w:u w:val="single"/>
        </w:rPr>
        <w:t xml:space="preserve">Observation </w:t>
      </w:r>
      <w:r>
        <w:rPr>
          <w:b/>
          <w:bCs/>
          <w:u w:val="single"/>
        </w:rPr>
        <w:t>3</w:t>
      </w:r>
      <w:r w:rsidRPr="00EC4484">
        <w:rPr>
          <w:b/>
          <w:bCs/>
        </w:rPr>
        <w:t xml:space="preserve">: Large antenna arrays at the BS enables feasible adjacent channel coexistence via directing the wanted signal to the target destination and reducing the adjacent channel interference. </w:t>
      </w:r>
    </w:p>
    <w:p w14:paraId="3513B604" w14:textId="53923967" w:rsidR="00807EE8" w:rsidRDefault="00512649" w:rsidP="007A0A6D">
      <w:r>
        <w:t xml:space="preserve">In order to derive the ACLR/ACS parameters for the BS and UE, </w:t>
      </w:r>
      <w:r w:rsidR="00AC0191">
        <w:t>the numbers from the adjacent channel coexistence should be considered with care. As an example, f</w:t>
      </w:r>
      <w:r w:rsidR="004867EE">
        <w:t xml:space="preserve">ocusing on the provided ACIR performance for the uplink scenario given in </w:t>
      </w:r>
      <w:r w:rsidR="009820D3">
        <w:t xml:space="preserve">Figure </w:t>
      </w:r>
      <w:r w:rsidR="00CF4F13">
        <w:t>2</w:t>
      </w:r>
      <w:r w:rsidR="004867EE">
        <w:t xml:space="preserve">, the </w:t>
      </w:r>
      <w:r w:rsidR="00CF4F13">
        <w:t>cell edge curve</w:t>
      </w:r>
      <w:r w:rsidR="004867EE">
        <w:t xml:space="preserve"> </w:t>
      </w:r>
      <w:r w:rsidR="00CF4F13">
        <w:t>results in</w:t>
      </w:r>
      <w:r w:rsidR="004867EE">
        <w:t xml:space="preserve"> around </w:t>
      </w:r>
      <w:r w:rsidR="00CF4F13">
        <w:t xml:space="preserve">uplink </w:t>
      </w:r>
      <w:r w:rsidR="00513341">
        <w:t>ACIR = 1</w:t>
      </w:r>
      <w:r w:rsidR="00CF4F13">
        <w:t>3</w:t>
      </w:r>
      <w:r w:rsidR="00513341">
        <w:t xml:space="preserve"> dB, which represents the combined effects of the UE ACLR and the gNB ACS. </w:t>
      </w:r>
      <w:r w:rsidR="008C46B7">
        <w:t xml:space="preserve">Additionally, UEs in the 14800 – 15350 MHz frequency range will anyway need to comply with the regulatory occupied bandwidth requirement, that specifies </w:t>
      </w:r>
      <w:r w:rsidR="008C46B7" w:rsidRPr="008C46B7">
        <w:t xml:space="preserve">the maximum bandwidth within which emissions do not exceed a certain percentage of the total emissions. </w:t>
      </w:r>
      <w:r w:rsidR="00807EE8">
        <w:t xml:space="preserve">For NR, </w:t>
      </w:r>
      <w:r w:rsidR="008C46B7" w:rsidRPr="008C46B7">
        <w:t>it is equal to the channel bandwidth with a maximum of 1% of emissions allowed outside of it (0.5% on each side)</w:t>
      </w:r>
      <w:r w:rsidR="00807EE8">
        <w:t xml:space="preserve">, which result in around 24 dB UE ACLR requirement. </w:t>
      </w:r>
    </w:p>
    <w:p w14:paraId="27910D63" w14:textId="6E3D8AF4" w:rsidR="001633A5" w:rsidRDefault="00BD0763" w:rsidP="007A0A6D">
      <w:pPr>
        <w:rPr>
          <w:b/>
          <w:bCs/>
        </w:rPr>
      </w:pPr>
      <w:r>
        <w:rPr>
          <w:b/>
          <w:bCs/>
          <w:u w:val="single"/>
        </w:rPr>
        <w:t>Observation 4</w:t>
      </w:r>
      <w:r w:rsidR="00807EE8" w:rsidRPr="00807EE8">
        <w:rPr>
          <w:b/>
          <w:bCs/>
        </w:rPr>
        <w:t>: Due to the regulatory occupied bandwidth requirement, required UE ACLR is technically equal to 24 dB.</w:t>
      </w:r>
    </w:p>
    <w:p w14:paraId="6A9699AB" w14:textId="00CA9E8D" w:rsidR="001633A5" w:rsidRDefault="009E3E92" w:rsidP="007A0A6D">
      <w:r>
        <w:t xml:space="preserve">Given the above, it is preferable to derive the ACLR/ACS parameters based on a combination of results from the adjacent channel coexistence and existing other RF parameters (e.g., occupied BW) </w:t>
      </w:r>
      <w:r w:rsidR="00555098">
        <w:t xml:space="preserve">as the adjacent channel coexistence results might be too optimistic. Thus, it is a viable proposal to </w:t>
      </w:r>
      <w:r w:rsidR="00AC566D">
        <w:t>consider BS (UE) ACLR as 27 dB (24 dB), while the BS</w:t>
      </w:r>
      <w:r w:rsidR="00974CFA">
        <w:t xml:space="preserve"> </w:t>
      </w:r>
      <w:r w:rsidR="00AC566D">
        <w:t>UE</w:t>
      </w:r>
      <w:r w:rsidR="00974CFA">
        <w:t xml:space="preserve"> </w:t>
      </w:r>
      <w:r w:rsidR="00AC566D">
        <w:t xml:space="preserve">ACS as </w:t>
      </w:r>
      <w:r w:rsidR="00974CFA">
        <w:t>a</w:t>
      </w:r>
      <w:r w:rsidR="00AC566D">
        <w:t xml:space="preserve"> 24 dB. </w:t>
      </w:r>
    </w:p>
    <w:p w14:paraId="72D4F2F7" w14:textId="6F5806A7" w:rsidR="00025521" w:rsidRDefault="003C4A00" w:rsidP="007A0A6D">
      <w:pPr>
        <w:rPr>
          <w:b/>
          <w:bCs/>
        </w:rPr>
      </w:pPr>
      <w:r w:rsidRPr="00DC637F">
        <w:rPr>
          <w:b/>
          <w:bCs/>
          <w:u w:val="single"/>
        </w:rPr>
        <w:t xml:space="preserve">Proposal </w:t>
      </w:r>
      <w:r w:rsidR="00DC637F" w:rsidRPr="00DC637F">
        <w:rPr>
          <w:b/>
          <w:bCs/>
          <w:u w:val="single"/>
        </w:rPr>
        <w:t>4</w:t>
      </w:r>
      <w:r w:rsidR="00DC637F" w:rsidRPr="00DC637F">
        <w:rPr>
          <w:b/>
          <w:bCs/>
        </w:rPr>
        <w:t xml:space="preserve">: RAN4 to consider BS (UE) ACLR as 27 dB (24 dB), while </w:t>
      </w:r>
      <w:r w:rsidR="004317B6">
        <w:rPr>
          <w:b/>
          <w:bCs/>
        </w:rPr>
        <w:t>UE</w:t>
      </w:r>
      <w:r w:rsidR="00DC637F" w:rsidRPr="00DC637F">
        <w:rPr>
          <w:b/>
          <w:bCs/>
        </w:rPr>
        <w:t xml:space="preserve"> ACS as 24 dB.</w:t>
      </w:r>
    </w:p>
    <w:p w14:paraId="033FCD7A" w14:textId="3A832261" w:rsidR="003C4A00" w:rsidRDefault="00025521" w:rsidP="007A0A6D">
      <w:r w:rsidRPr="00025521">
        <w:t xml:space="preserve">Finally, it should be clarified that the above numbers and the outcome of the adjacent channel coexistence are based on the </w:t>
      </w:r>
      <w:r w:rsidR="00012BC4">
        <w:t xml:space="preserve">underlying assumptions. During the normative phase of defining the requirements later in RAN4, different assumptions can be agreed and thus, the above ACIR numbers can be revisited. </w:t>
      </w:r>
    </w:p>
    <w:p w14:paraId="24D2ADC8" w14:textId="671082F7" w:rsidR="00012BC4" w:rsidRPr="008700B2" w:rsidRDefault="00012BC4" w:rsidP="007A0A6D">
      <w:pPr>
        <w:rPr>
          <w:b/>
          <w:bCs/>
        </w:rPr>
      </w:pPr>
      <w:r w:rsidRPr="008700B2">
        <w:rPr>
          <w:b/>
          <w:bCs/>
          <w:u w:val="single"/>
        </w:rPr>
        <w:t>Observation 5</w:t>
      </w:r>
      <w:r w:rsidRPr="008700B2">
        <w:rPr>
          <w:b/>
          <w:bCs/>
        </w:rPr>
        <w:t>: During the normative work</w:t>
      </w:r>
      <w:r w:rsidR="008700B2" w:rsidRPr="008700B2">
        <w:rPr>
          <w:b/>
          <w:bCs/>
        </w:rPr>
        <w:t xml:space="preserve">, different assumptions and accompanying ACIR values can be discussed within RAN4. </w:t>
      </w:r>
    </w:p>
    <w:p w14:paraId="6E12F344" w14:textId="77777777" w:rsidR="00993E9B" w:rsidRDefault="00993E9B" w:rsidP="00823087">
      <w:pPr>
        <w:pStyle w:val="Heading1"/>
        <w:ind w:left="0" w:firstLine="0"/>
        <w:jc w:val="both"/>
      </w:pPr>
      <w:r>
        <w:t>Conclusion</w:t>
      </w:r>
    </w:p>
    <w:p w14:paraId="680B5DC1" w14:textId="4163DE30" w:rsidR="00993E9B" w:rsidRDefault="004A75F9" w:rsidP="00823087">
      <w:pPr>
        <w:jc w:val="both"/>
      </w:pPr>
      <w:r>
        <w:t xml:space="preserve">In this paper we have shared our views on the RF parameters for </w:t>
      </w:r>
      <w:r w:rsidR="0091658C" w:rsidRPr="004A7143">
        <w:t>14800</w:t>
      </w:r>
      <w:r w:rsidR="00F50B6E">
        <w:t xml:space="preserve"> - </w:t>
      </w:r>
      <w:r w:rsidR="0091658C" w:rsidRPr="004A7143">
        <w:t>15350</w:t>
      </w:r>
      <w:r w:rsidR="0091658C">
        <w:rPr>
          <w:bCs/>
        </w:rPr>
        <w:t xml:space="preserve"> MHz f</w:t>
      </w:r>
      <w:r w:rsidR="0091658C" w:rsidRPr="0055126D">
        <w:rPr>
          <w:bCs/>
        </w:rPr>
        <w:t>requency range</w:t>
      </w:r>
      <w:r>
        <w:t>. Our observations and proposals can be summarized for that frequency range as follows:</w:t>
      </w:r>
    </w:p>
    <w:p w14:paraId="2382F00C" w14:textId="77777777" w:rsidR="00BD0763" w:rsidRDefault="00BD0763" w:rsidP="00BD0763">
      <w:pPr>
        <w:jc w:val="both"/>
        <w:rPr>
          <w:b/>
          <w:bCs/>
        </w:rPr>
      </w:pPr>
      <w:r w:rsidRPr="00F076B6">
        <w:rPr>
          <w:b/>
          <w:bCs/>
          <w:u w:val="single"/>
        </w:rPr>
        <w:t xml:space="preserve">Proposal </w:t>
      </w:r>
      <w:r>
        <w:rPr>
          <w:b/>
          <w:bCs/>
          <w:u w:val="single"/>
        </w:rPr>
        <w:t>1</w:t>
      </w:r>
      <w:r w:rsidRPr="00915421">
        <w:rPr>
          <w:b/>
          <w:bCs/>
        </w:rPr>
        <w:t xml:space="preserve">: </w:t>
      </w:r>
      <w:r>
        <w:rPr>
          <w:b/>
          <w:bCs/>
        </w:rPr>
        <w:t xml:space="preserve">RAN4 to consider 200 MHz as a baseline in the adjacent channel coexistence framework. </w:t>
      </w:r>
      <w:r w:rsidRPr="00C50380">
        <w:rPr>
          <w:b/>
          <w:bCs/>
        </w:rPr>
        <w:t xml:space="preserve"> </w:t>
      </w:r>
    </w:p>
    <w:p w14:paraId="78A3EDFD" w14:textId="77777777" w:rsidR="00BD0763" w:rsidRDefault="00BD0763" w:rsidP="00BD0763">
      <w:pPr>
        <w:rPr>
          <w:b/>
          <w:bCs/>
        </w:rPr>
      </w:pPr>
      <w:r w:rsidRPr="00E345D5">
        <w:rPr>
          <w:b/>
          <w:bCs/>
          <w:u w:val="single"/>
        </w:rPr>
        <w:t>Observation 1</w:t>
      </w:r>
      <w:r w:rsidRPr="00E345D5">
        <w:rPr>
          <w:b/>
          <w:bCs/>
        </w:rPr>
        <w:t xml:space="preserve">: No coverage issues (DL and UL) are observed with the agreed BS AAS configuration (3072 antenna elements, 16*24 URA with 4 elements per subarray) and 200 MHz channel bandwidth. </w:t>
      </w:r>
    </w:p>
    <w:p w14:paraId="43EE0C67" w14:textId="77777777" w:rsidR="00BD0763" w:rsidRDefault="00BD0763" w:rsidP="00BD0763">
      <w:pPr>
        <w:rPr>
          <w:b/>
          <w:bCs/>
        </w:rPr>
      </w:pPr>
      <w:r w:rsidRPr="00C746A3">
        <w:rPr>
          <w:b/>
          <w:bCs/>
          <w:u w:val="single"/>
        </w:rPr>
        <w:lastRenderedPageBreak/>
        <w:t>Proposal 2</w:t>
      </w:r>
      <w:r>
        <w:rPr>
          <w:b/>
          <w:bCs/>
        </w:rPr>
        <w:t xml:space="preserve">: RAN4 to consider 3072 as total number of antenna elements and 200 MHz channel bandwidth since no coverage issues were observed.  </w:t>
      </w:r>
    </w:p>
    <w:p w14:paraId="18789926" w14:textId="77777777" w:rsidR="007E69AE" w:rsidRPr="00A77BD1" w:rsidRDefault="007E69AE" w:rsidP="007E69AE">
      <w:pPr>
        <w:rPr>
          <w:b/>
          <w:bCs/>
        </w:rPr>
      </w:pPr>
      <w:r w:rsidRPr="00A77BD1">
        <w:rPr>
          <w:b/>
          <w:bCs/>
          <w:u w:val="single"/>
        </w:rPr>
        <w:t>Observation 2</w:t>
      </w:r>
      <w:r w:rsidRPr="00A77BD1">
        <w:rPr>
          <w:b/>
          <w:bCs/>
        </w:rPr>
        <w:t>: To meet the throughout threshold target, ACIR values of 2</w:t>
      </w:r>
      <w:r>
        <w:rPr>
          <w:b/>
          <w:bCs/>
        </w:rPr>
        <w:t>2</w:t>
      </w:r>
      <w:r w:rsidRPr="00A77BD1">
        <w:rPr>
          <w:b/>
          <w:bCs/>
        </w:rPr>
        <w:t xml:space="preserve"> dB and 13 dB were observed for downlink and uplink, respectively, based on the latest agreed parameters. </w:t>
      </w:r>
    </w:p>
    <w:p w14:paraId="7A25EF41" w14:textId="77777777" w:rsidR="007E69AE" w:rsidRDefault="007E69AE" w:rsidP="007E69AE">
      <w:pPr>
        <w:rPr>
          <w:b/>
          <w:bCs/>
        </w:rPr>
      </w:pPr>
      <w:r w:rsidRPr="00EC4484">
        <w:rPr>
          <w:b/>
          <w:bCs/>
          <w:u w:val="single"/>
        </w:rPr>
        <w:t xml:space="preserve">Observation </w:t>
      </w:r>
      <w:r>
        <w:rPr>
          <w:b/>
          <w:bCs/>
          <w:u w:val="single"/>
        </w:rPr>
        <w:t>3</w:t>
      </w:r>
      <w:r w:rsidRPr="00EC4484">
        <w:rPr>
          <w:b/>
          <w:bCs/>
        </w:rPr>
        <w:t xml:space="preserve">: Large antenna arrays at the BS enables feasible adjacent channel coexistence via directing the wanted signal to the target destination and reducing the adjacent channel interference. </w:t>
      </w:r>
    </w:p>
    <w:p w14:paraId="1A6AC54B" w14:textId="77777777" w:rsidR="007E69AE" w:rsidRDefault="007E69AE" w:rsidP="007E69AE">
      <w:pPr>
        <w:rPr>
          <w:b/>
          <w:bCs/>
        </w:rPr>
      </w:pPr>
      <w:r>
        <w:rPr>
          <w:b/>
          <w:bCs/>
          <w:u w:val="single"/>
        </w:rPr>
        <w:t>Observation 4</w:t>
      </w:r>
      <w:r w:rsidRPr="00807EE8">
        <w:rPr>
          <w:b/>
          <w:bCs/>
        </w:rPr>
        <w:t xml:space="preserve">: Due to the regulatory occupied bandwidth requirement, required UE ACLR is technically equal to 24 </w:t>
      </w:r>
      <w:proofErr w:type="spellStart"/>
      <w:r w:rsidRPr="00807EE8">
        <w:rPr>
          <w:b/>
          <w:bCs/>
        </w:rPr>
        <w:t>dBc</w:t>
      </w:r>
      <w:proofErr w:type="spellEnd"/>
      <w:r w:rsidRPr="00807EE8">
        <w:rPr>
          <w:b/>
          <w:bCs/>
        </w:rPr>
        <w:t>.</w:t>
      </w:r>
    </w:p>
    <w:p w14:paraId="691A5527" w14:textId="77777777" w:rsidR="00974CFA" w:rsidRDefault="00974CFA" w:rsidP="00974CFA">
      <w:pPr>
        <w:rPr>
          <w:b/>
          <w:bCs/>
        </w:rPr>
      </w:pPr>
      <w:r w:rsidRPr="00DC637F">
        <w:rPr>
          <w:b/>
          <w:bCs/>
          <w:u w:val="single"/>
        </w:rPr>
        <w:t>Proposal 4</w:t>
      </w:r>
      <w:r w:rsidRPr="00DC637F">
        <w:rPr>
          <w:b/>
          <w:bCs/>
        </w:rPr>
        <w:t xml:space="preserve">: RAN4 to consider BS (UE) ACLR as 27 dB (24 dB), while </w:t>
      </w:r>
      <w:r>
        <w:rPr>
          <w:b/>
          <w:bCs/>
        </w:rPr>
        <w:t>UE</w:t>
      </w:r>
      <w:r w:rsidRPr="00DC637F">
        <w:rPr>
          <w:b/>
          <w:bCs/>
        </w:rPr>
        <w:t xml:space="preserve"> ACS as 24 dB.</w:t>
      </w:r>
    </w:p>
    <w:p w14:paraId="50CF1AE2" w14:textId="430D8B6E" w:rsidR="008700B2" w:rsidRPr="0039563D" w:rsidRDefault="008700B2" w:rsidP="007E69AE">
      <w:pPr>
        <w:rPr>
          <w:b/>
          <w:bCs/>
        </w:rPr>
      </w:pPr>
      <w:r w:rsidRPr="008700B2">
        <w:rPr>
          <w:b/>
          <w:bCs/>
          <w:u w:val="single"/>
        </w:rPr>
        <w:t>Observation 5</w:t>
      </w:r>
      <w:r w:rsidRPr="008700B2">
        <w:rPr>
          <w:b/>
          <w:bCs/>
        </w:rPr>
        <w:t xml:space="preserve">: During the normative work, different assumptions and accompanying ACIR values can be discussed within RAN4. </w:t>
      </w:r>
    </w:p>
    <w:p w14:paraId="17189E3E" w14:textId="77777777" w:rsidR="00993E9B" w:rsidRDefault="00993E9B" w:rsidP="00823087">
      <w:pPr>
        <w:pStyle w:val="Heading1"/>
        <w:ind w:left="0" w:firstLine="0"/>
        <w:jc w:val="both"/>
      </w:pPr>
      <w:r>
        <w:t>Reference</w:t>
      </w:r>
    </w:p>
    <w:p w14:paraId="1DB76870" w14:textId="77777777" w:rsidR="003D3BC1" w:rsidRDefault="003D3BC1" w:rsidP="003D3BC1">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202E63A3" w14:textId="2FE9870D" w:rsidR="003D3BC1" w:rsidRDefault="003D3BC1" w:rsidP="003D3BC1">
      <w:pPr>
        <w:pStyle w:val="B1"/>
        <w:ind w:left="426"/>
        <w:jc w:val="both"/>
      </w:pPr>
      <w:r>
        <w:t>[</w:t>
      </w:r>
      <w:r w:rsidR="0097718E">
        <w:t>2</w:t>
      </w:r>
      <w:r>
        <w:t xml:space="preserve">] </w:t>
      </w:r>
      <w:r w:rsidRPr="004F6142">
        <w:t>R4-24</w:t>
      </w:r>
      <w:r>
        <w:t>1710</w:t>
      </w:r>
      <w:r w:rsidR="00413728">
        <w:t>7</w:t>
      </w:r>
      <w:r>
        <w:t>, “</w:t>
      </w:r>
      <w:r w:rsidRPr="006659DE">
        <w:t>WF on 15GHz BS parameters</w:t>
      </w:r>
      <w:r>
        <w:t xml:space="preserve">”, ZTE, RAN4#112bis, Hefei, China. </w:t>
      </w:r>
    </w:p>
    <w:p w14:paraId="2EB11A9D" w14:textId="627E5017" w:rsidR="003D3BC1" w:rsidRDefault="003D3BC1" w:rsidP="003D3BC1">
      <w:pPr>
        <w:pStyle w:val="B1"/>
        <w:ind w:left="426"/>
        <w:jc w:val="both"/>
      </w:pPr>
      <w:r>
        <w:t>[</w:t>
      </w:r>
      <w:r w:rsidR="0097718E">
        <w:t>3</w:t>
      </w:r>
      <w:r>
        <w:t xml:space="preserve">] </w:t>
      </w:r>
      <w:r w:rsidRPr="004F6142">
        <w:t>R4-24</w:t>
      </w:r>
      <w:r>
        <w:t>17108, “</w:t>
      </w:r>
      <w:r w:rsidRPr="006659DE">
        <w:t xml:space="preserve">WF on 15GHz </w:t>
      </w:r>
      <w:r>
        <w:t>UE</w:t>
      </w:r>
      <w:r w:rsidRPr="006659DE">
        <w:t xml:space="preserve"> parameters</w:t>
      </w:r>
      <w:r>
        <w:t xml:space="preserve">”, Qualcomm, RAN4#112bis, Hefei, China. </w:t>
      </w:r>
    </w:p>
    <w:p w14:paraId="79C61292" w14:textId="28C63871" w:rsidR="00D437C1" w:rsidRDefault="0097718E" w:rsidP="00E842D3">
      <w:pPr>
        <w:pStyle w:val="B1"/>
        <w:ind w:left="426"/>
        <w:jc w:val="both"/>
      </w:pPr>
      <w:r>
        <w:t xml:space="preserve">[4] </w:t>
      </w:r>
      <w:r w:rsidR="00D437C1" w:rsidRPr="004F6142">
        <w:t>R4-24</w:t>
      </w:r>
      <w:r w:rsidR="00D437C1">
        <w:t>17105, “</w:t>
      </w:r>
      <w:r w:rsidR="00E842D3" w:rsidRPr="00E842D3">
        <w:t>TP to TR 38.922: Revisions of system level simulation assumptions for study on IMT parameters for 14800 to 15350 MHz frequency range</w:t>
      </w:r>
      <w:r w:rsidR="00E842D3">
        <w:t>”, Nokia</w:t>
      </w:r>
      <w:r w:rsidR="00D437C1">
        <w:t xml:space="preserve">, RAN4#112bis, Hefei, China. </w:t>
      </w:r>
    </w:p>
    <w:p w14:paraId="606A61EA" w14:textId="3EC353B7" w:rsidR="00D472A8" w:rsidRDefault="00D472A8" w:rsidP="003D3BC1">
      <w:pPr>
        <w:pStyle w:val="B1"/>
        <w:ind w:left="426"/>
        <w:jc w:val="both"/>
      </w:pPr>
    </w:p>
    <w:p w14:paraId="2AAC5D96" w14:textId="77777777" w:rsidR="00993E9B" w:rsidRDefault="00993E9B" w:rsidP="00D472A8">
      <w:pPr>
        <w:pStyle w:val="B1"/>
        <w:ind w:left="0" w:firstLine="0"/>
        <w:jc w:val="both"/>
      </w:pPr>
    </w:p>
    <w:p w14:paraId="318EFFBC" w14:textId="77777777" w:rsidR="00993E9B" w:rsidRDefault="00993E9B" w:rsidP="00823087">
      <w:pPr>
        <w:pStyle w:val="B1"/>
        <w:ind w:left="0" w:firstLine="0"/>
        <w:jc w:val="both"/>
      </w:pPr>
    </w:p>
    <w:p w14:paraId="5467FF78" w14:textId="77777777" w:rsidR="00993E9B" w:rsidRDefault="00993E9B" w:rsidP="00823087">
      <w:pPr>
        <w:jc w:val="both"/>
      </w:pPr>
    </w:p>
    <w:sectPr w:rsidR="00993E9B"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9AB74" w14:textId="77777777" w:rsidR="00334B4A" w:rsidRDefault="00334B4A" w:rsidP="0053201B">
      <w:pPr>
        <w:spacing w:after="0"/>
      </w:pPr>
      <w:r>
        <w:separator/>
      </w:r>
    </w:p>
  </w:endnote>
  <w:endnote w:type="continuationSeparator" w:id="0">
    <w:p w14:paraId="34FF5DF4" w14:textId="77777777" w:rsidR="00334B4A" w:rsidRDefault="00334B4A" w:rsidP="0053201B">
      <w:pPr>
        <w:spacing w:after="0"/>
      </w:pPr>
      <w:r>
        <w:continuationSeparator/>
      </w:r>
    </w:p>
  </w:endnote>
  <w:endnote w:type="continuationNotice" w:id="1">
    <w:p w14:paraId="59E09CE1" w14:textId="77777777" w:rsidR="00334B4A" w:rsidRDefault="00334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AE8C0" w14:textId="77777777" w:rsidR="00334B4A" w:rsidRDefault="00334B4A" w:rsidP="0053201B">
      <w:pPr>
        <w:spacing w:after="0"/>
      </w:pPr>
      <w:r>
        <w:separator/>
      </w:r>
    </w:p>
  </w:footnote>
  <w:footnote w:type="continuationSeparator" w:id="0">
    <w:p w14:paraId="2126D193" w14:textId="77777777" w:rsidR="00334B4A" w:rsidRDefault="00334B4A" w:rsidP="0053201B">
      <w:pPr>
        <w:spacing w:after="0"/>
      </w:pPr>
      <w:r>
        <w:continuationSeparator/>
      </w:r>
    </w:p>
  </w:footnote>
  <w:footnote w:type="continuationNotice" w:id="1">
    <w:p w14:paraId="40DB359F" w14:textId="77777777" w:rsidR="00334B4A" w:rsidRDefault="00334B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19A41D3"/>
    <w:multiLevelType w:val="hybridMultilevel"/>
    <w:tmpl w:val="00DA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86A5C05"/>
    <w:multiLevelType w:val="hybridMultilevel"/>
    <w:tmpl w:val="E746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BD492F"/>
    <w:multiLevelType w:val="hybridMultilevel"/>
    <w:tmpl w:val="83F8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8"/>
  </w:num>
  <w:num w:numId="2" w16cid:durableId="1621305404">
    <w:abstractNumId w:val="2"/>
  </w:num>
  <w:num w:numId="3" w16cid:durableId="225802869">
    <w:abstractNumId w:val="3"/>
  </w:num>
  <w:num w:numId="4" w16cid:durableId="276178333">
    <w:abstractNumId w:val="0"/>
  </w:num>
  <w:num w:numId="5" w16cid:durableId="1935287387">
    <w:abstractNumId w:val="6"/>
  </w:num>
  <w:num w:numId="6" w16cid:durableId="1874151125">
    <w:abstractNumId w:val="5"/>
  </w:num>
  <w:num w:numId="7" w16cid:durableId="578293186">
    <w:abstractNumId w:val="12"/>
  </w:num>
  <w:num w:numId="8" w16cid:durableId="2128427024">
    <w:abstractNumId w:val="13"/>
  </w:num>
  <w:num w:numId="9" w16cid:durableId="2081445157">
    <w:abstractNumId w:val="4"/>
  </w:num>
  <w:num w:numId="10" w16cid:durableId="1650285966">
    <w:abstractNumId w:val="10"/>
  </w:num>
  <w:num w:numId="11" w16cid:durableId="509032276">
    <w:abstractNumId w:val="9"/>
  </w:num>
  <w:num w:numId="12" w16cid:durableId="45419266">
    <w:abstractNumId w:val="11"/>
  </w:num>
  <w:num w:numId="13" w16cid:durableId="1138451871">
    <w:abstractNumId w:val="7"/>
  </w:num>
  <w:num w:numId="14" w16cid:durableId="1707172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78FE"/>
    <w:rsid w:val="00010175"/>
    <w:rsid w:val="00010E35"/>
    <w:rsid w:val="00012BC4"/>
    <w:rsid w:val="00016F90"/>
    <w:rsid w:val="00017D94"/>
    <w:rsid w:val="00020853"/>
    <w:rsid w:val="000250BC"/>
    <w:rsid w:val="00025521"/>
    <w:rsid w:val="00030343"/>
    <w:rsid w:val="000334FD"/>
    <w:rsid w:val="00033A21"/>
    <w:rsid w:val="00034B4E"/>
    <w:rsid w:val="00034D06"/>
    <w:rsid w:val="000443F3"/>
    <w:rsid w:val="00045BA0"/>
    <w:rsid w:val="00057089"/>
    <w:rsid w:val="00060D81"/>
    <w:rsid w:val="000644E6"/>
    <w:rsid w:val="0006516A"/>
    <w:rsid w:val="00065D07"/>
    <w:rsid w:val="000666D4"/>
    <w:rsid w:val="000739B3"/>
    <w:rsid w:val="000748BF"/>
    <w:rsid w:val="00080F8B"/>
    <w:rsid w:val="0008586B"/>
    <w:rsid w:val="00093094"/>
    <w:rsid w:val="000970DC"/>
    <w:rsid w:val="000A2E2B"/>
    <w:rsid w:val="000A56A5"/>
    <w:rsid w:val="000B3542"/>
    <w:rsid w:val="000B3A88"/>
    <w:rsid w:val="000B5295"/>
    <w:rsid w:val="000C05B1"/>
    <w:rsid w:val="000C53AB"/>
    <w:rsid w:val="000D163F"/>
    <w:rsid w:val="000D285C"/>
    <w:rsid w:val="000D352B"/>
    <w:rsid w:val="000D6147"/>
    <w:rsid w:val="000E2532"/>
    <w:rsid w:val="000E539E"/>
    <w:rsid w:val="000E7DF4"/>
    <w:rsid w:val="000F013E"/>
    <w:rsid w:val="000F117D"/>
    <w:rsid w:val="000F5117"/>
    <w:rsid w:val="000F58C5"/>
    <w:rsid w:val="000F7FFE"/>
    <w:rsid w:val="0010170A"/>
    <w:rsid w:val="00115F77"/>
    <w:rsid w:val="001163DF"/>
    <w:rsid w:val="00120B88"/>
    <w:rsid w:val="001319A1"/>
    <w:rsid w:val="00131C2A"/>
    <w:rsid w:val="001369FC"/>
    <w:rsid w:val="00140669"/>
    <w:rsid w:val="0014457D"/>
    <w:rsid w:val="0014783E"/>
    <w:rsid w:val="00151A8D"/>
    <w:rsid w:val="00161208"/>
    <w:rsid w:val="00162AA8"/>
    <w:rsid w:val="001633A5"/>
    <w:rsid w:val="00166F01"/>
    <w:rsid w:val="0017184B"/>
    <w:rsid w:val="001772ED"/>
    <w:rsid w:val="001803A2"/>
    <w:rsid w:val="0018394D"/>
    <w:rsid w:val="001A310D"/>
    <w:rsid w:val="001A7539"/>
    <w:rsid w:val="001A7E15"/>
    <w:rsid w:val="001B15BE"/>
    <w:rsid w:val="001B269A"/>
    <w:rsid w:val="001B43FB"/>
    <w:rsid w:val="001B5B2C"/>
    <w:rsid w:val="001C1E73"/>
    <w:rsid w:val="001C6FDE"/>
    <w:rsid w:val="001C76B5"/>
    <w:rsid w:val="001D1E76"/>
    <w:rsid w:val="001D27C1"/>
    <w:rsid w:val="001D538E"/>
    <w:rsid w:val="001E310D"/>
    <w:rsid w:val="001E51AD"/>
    <w:rsid w:val="001F4658"/>
    <w:rsid w:val="001F4A74"/>
    <w:rsid w:val="002007C3"/>
    <w:rsid w:val="00200EEE"/>
    <w:rsid w:val="00207990"/>
    <w:rsid w:val="00211997"/>
    <w:rsid w:val="00216130"/>
    <w:rsid w:val="002220E3"/>
    <w:rsid w:val="00227F48"/>
    <w:rsid w:val="00243A28"/>
    <w:rsid w:val="00245845"/>
    <w:rsid w:val="0025545A"/>
    <w:rsid w:val="0026134C"/>
    <w:rsid w:val="002626C4"/>
    <w:rsid w:val="00262E0D"/>
    <w:rsid w:val="0026333C"/>
    <w:rsid w:val="00276C66"/>
    <w:rsid w:val="00277353"/>
    <w:rsid w:val="00284321"/>
    <w:rsid w:val="00286A54"/>
    <w:rsid w:val="00290E1C"/>
    <w:rsid w:val="00292411"/>
    <w:rsid w:val="002933E2"/>
    <w:rsid w:val="00293548"/>
    <w:rsid w:val="00293F48"/>
    <w:rsid w:val="00297A8F"/>
    <w:rsid w:val="002A0377"/>
    <w:rsid w:val="002A11A2"/>
    <w:rsid w:val="002A1AFD"/>
    <w:rsid w:val="002B1B19"/>
    <w:rsid w:val="002C228A"/>
    <w:rsid w:val="002D05B4"/>
    <w:rsid w:val="002D334C"/>
    <w:rsid w:val="002D37EF"/>
    <w:rsid w:val="002D7004"/>
    <w:rsid w:val="002E0D2A"/>
    <w:rsid w:val="002E34DE"/>
    <w:rsid w:val="002F1836"/>
    <w:rsid w:val="002F1EB5"/>
    <w:rsid w:val="002F21B4"/>
    <w:rsid w:val="002F2AB9"/>
    <w:rsid w:val="002F5CF1"/>
    <w:rsid w:val="002F5DAE"/>
    <w:rsid w:val="00303031"/>
    <w:rsid w:val="0030399D"/>
    <w:rsid w:val="00305B4F"/>
    <w:rsid w:val="0030605B"/>
    <w:rsid w:val="003133B0"/>
    <w:rsid w:val="00315BD8"/>
    <w:rsid w:val="00317293"/>
    <w:rsid w:val="0032021E"/>
    <w:rsid w:val="003205E3"/>
    <w:rsid w:val="00322279"/>
    <w:rsid w:val="00323A96"/>
    <w:rsid w:val="003264D7"/>
    <w:rsid w:val="003279A2"/>
    <w:rsid w:val="00334B4A"/>
    <w:rsid w:val="00337758"/>
    <w:rsid w:val="003465F6"/>
    <w:rsid w:val="00353594"/>
    <w:rsid w:val="00353CAE"/>
    <w:rsid w:val="003553A2"/>
    <w:rsid w:val="00372F65"/>
    <w:rsid w:val="00373A94"/>
    <w:rsid w:val="0038129F"/>
    <w:rsid w:val="00381DB5"/>
    <w:rsid w:val="00382370"/>
    <w:rsid w:val="00382371"/>
    <w:rsid w:val="003851E0"/>
    <w:rsid w:val="0038656B"/>
    <w:rsid w:val="003876D3"/>
    <w:rsid w:val="00391215"/>
    <w:rsid w:val="003936F9"/>
    <w:rsid w:val="00395352"/>
    <w:rsid w:val="0039563D"/>
    <w:rsid w:val="003A10AA"/>
    <w:rsid w:val="003A3D36"/>
    <w:rsid w:val="003B323A"/>
    <w:rsid w:val="003C0668"/>
    <w:rsid w:val="003C4A00"/>
    <w:rsid w:val="003D1860"/>
    <w:rsid w:val="003D31A5"/>
    <w:rsid w:val="003D3BC1"/>
    <w:rsid w:val="003D74A8"/>
    <w:rsid w:val="003F439E"/>
    <w:rsid w:val="003F73B2"/>
    <w:rsid w:val="00406761"/>
    <w:rsid w:val="004072E0"/>
    <w:rsid w:val="0041301A"/>
    <w:rsid w:val="00413728"/>
    <w:rsid w:val="00422C13"/>
    <w:rsid w:val="00424A73"/>
    <w:rsid w:val="00424C73"/>
    <w:rsid w:val="004317B6"/>
    <w:rsid w:val="0043357D"/>
    <w:rsid w:val="0043519E"/>
    <w:rsid w:val="00441111"/>
    <w:rsid w:val="00441FC9"/>
    <w:rsid w:val="00443278"/>
    <w:rsid w:val="00443AB1"/>
    <w:rsid w:val="0044566D"/>
    <w:rsid w:val="00465A5D"/>
    <w:rsid w:val="00467828"/>
    <w:rsid w:val="00471D05"/>
    <w:rsid w:val="00471F05"/>
    <w:rsid w:val="00482050"/>
    <w:rsid w:val="004849E4"/>
    <w:rsid w:val="004867EE"/>
    <w:rsid w:val="0048722C"/>
    <w:rsid w:val="00487D81"/>
    <w:rsid w:val="004A2AA4"/>
    <w:rsid w:val="004A75F9"/>
    <w:rsid w:val="004B0598"/>
    <w:rsid w:val="004B13B3"/>
    <w:rsid w:val="004B3DF6"/>
    <w:rsid w:val="004B4500"/>
    <w:rsid w:val="004B7A80"/>
    <w:rsid w:val="004C4599"/>
    <w:rsid w:val="004D1525"/>
    <w:rsid w:val="004D7E41"/>
    <w:rsid w:val="005010C0"/>
    <w:rsid w:val="00504BA1"/>
    <w:rsid w:val="0051127D"/>
    <w:rsid w:val="00512649"/>
    <w:rsid w:val="00513341"/>
    <w:rsid w:val="0051387B"/>
    <w:rsid w:val="00515FB6"/>
    <w:rsid w:val="00531513"/>
    <w:rsid w:val="0053201B"/>
    <w:rsid w:val="00532AB2"/>
    <w:rsid w:val="00536ABD"/>
    <w:rsid w:val="00546B72"/>
    <w:rsid w:val="005545FE"/>
    <w:rsid w:val="00555098"/>
    <w:rsid w:val="005572D8"/>
    <w:rsid w:val="00560B74"/>
    <w:rsid w:val="005619DA"/>
    <w:rsid w:val="00562B1A"/>
    <w:rsid w:val="00563EE6"/>
    <w:rsid w:val="005655B7"/>
    <w:rsid w:val="00573A77"/>
    <w:rsid w:val="005758E6"/>
    <w:rsid w:val="00582E47"/>
    <w:rsid w:val="00587897"/>
    <w:rsid w:val="0059073B"/>
    <w:rsid w:val="0059132F"/>
    <w:rsid w:val="005952AA"/>
    <w:rsid w:val="005A036B"/>
    <w:rsid w:val="005A3804"/>
    <w:rsid w:val="005A643E"/>
    <w:rsid w:val="005A68EB"/>
    <w:rsid w:val="005A71D8"/>
    <w:rsid w:val="005B04DF"/>
    <w:rsid w:val="005B34C7"/>
    <w:rsid w:val="005B6ECB"/>
    <w:rsid w:val="005C7EBB"/>
    <w:rsid w:val="005F5A71"/>
    <w:rsid w:val="00610B7C"/>
    <w:rsid w:val="006115D1"/>
    <w:rsid w:val="0061354C"/>
    <w:rsid w:val="00623074"/>
    <w:rsid w:val="00626B61"/>
    <w:rsid w:val="00641343"/>
    <w:rsid w:val="00645EE0"/>
    <w:rsid w:val="00647AA7"/>
    <w:rsid w:val="00650DBE"/>
    <w:rsid w:val="0065252B"/>
    <w:rsid w:val="00655309"/>
    <w:rsid w:val="00661D49"/>
    <w:rsid w:val="00663742"/>
    <w:rsid w:val="0066665A"/>
    <w:rsid w:val="00670318"/>
    <w:rsid w:val="0067716E"/>
    <w:rsid w:val="006854BF"/>
    <w:rsid w:val="00692B4E"/>
    <w:rsid w:val="00695408"/>
    <w:rsid w:val="006955F4"/>
    <w:rsid w:val="00695FA2"/>
    <w:rsid w:val="006A1A1F"/>
    <w:rsid w:val="006A6E35"/>
    <w:rsid w:val="006A709E"/>
    <w:rsid w:val="006B506A"/>
    <w:rsid w:val="006B7020"/>
    <w:rsid w:val="006C0379"/>
    <w:rsid w:val="006C2DEE"/>
    <w:rsid w:val="006D028C"/>
    <w:rsid w:val="006D24CF"/>
    <w:rsid w:val="006D6BC9"/>
    <w:rsid w:val="006D77D2"/>
    <w:rsid w:val="006E4C77"/>
    <w:rsid w:val="006F04C9"/>
    <w:rsid w:val="006F75A9"/>
    <w:rsid w:val="00711502"/>
    <w:rsid w:val="00712C5E"/>
    <w:rsid w:val="007134A6"/>
    <w:rsid w:val="00715476"/>
    <w:rsid w:val="0071630B"/>
    <w:rsid w:val="00717FE4"/>
    <w:rsid w:val="00732C96"/>
    <w:rsid w:val="007333A6"/>
    <w:rsid w:val="00734E38"/>
    <w:rsid w:val="00737DCA"/>
    <w:rsid w:val="00741F1C"/>
    <w:rsid w:val="007439AB"/>
    <w:rsid w:val="007449DE"/>
    <w:rsid w:val="00746F1D"/>
    <w:rsid w:val="007475CD"/>
    <w:rsid w:val="00761EC4"/>
    <w:rsid w:val="00765938"/>
    <w:rsid w:val="0076678B"/>
    <w:rsid w:val="00785337"/>
    <w:rsid w:val="007855B3"/>
    <w:rsid w:val="00790F6A"/>
    <w:rsid w:val="00791889"/>
    <w:rsid w:val="0079517F"/>
    <w:rsid w:val="007A01C6"/>
    <w:rsid w:val="007A0A6D"/>
    <w:rsid w:val="007B11C2"/>
    <w:rsid w:val="007B7220"/>
    <w:rsid w:val="007C31E9"/>
    <w:rsid w:val="007C51C5"/>
    <w:rsid w:val="007C67C0"/>
    <w:rsid w:val="007C6DD8"/>
    <w:rsid w:val="007D0076"/>
    <w:rsid w:val="007D0B3F"/>
    <w:rsid w:val="007D0FF3"/>
    <w:rsid w:val="007D134E"/>
    <w:rsid w:val="007D3037"/>
    <w:rsid w:val="007D5C71"/>
    <w:rsid w:val="007D7357"/>
    <w:rsid w:val="007E5653"/>
    <w:rsid w:val="007E5730"/>
    <w:rsid w:val="007E68D5"/>
    <w:rsid w:val="007E6973"/>
    <w:rsid w:val="007E69AE"/>
    <w:rsid w:val="007E6BBF"/>
    <w:rsid w:val="007E7112"/>
    <w:rsid w:val="007F2595"/>
    <w:rsid w:val="007F342F"/>
    <w:rsid w:val="007F372E"/>
    <w:rsid w:val="00800C1B"/>
    <w:rsid w:val="00805DEB"/>
    <w:rsid w:val="00807EE8"/>
    <w:rsid w:val="008134E2"/>
    <w:rsid w:val="00813CE6"/>
    <w:rsid w:val="00814E56"/>
    <w:rsid w:val="00823087"/>
    <w:rsid w:val="0082764C"/>
    <w:rsid w:val="008304B5"/>
    <w:rsid w:val="008314CA"/>
    <w:rsid w:val="00834CAB"/>
    <w:rsid w:val="00835808"/>
    <w:rsid w:val="00845BA2"/>
    <w:rsid w:val="00847821"/>
    <w:rsid w:val="0085151E"/>
    <w:rsid w:val="00851D28"/>
    <w:rsid w:val="00852A2C"/>
    <w:rsid w:val="00853E26"/>
    <w:rsid w:val="00860E1B"/>
    <w:rsid w:val="0086319B"/>
    <w:rsid w:val="008700B2"/>
    <w:rsid w:val="0087034A"/>
    <w:rsid w:val="008736BA"/>
    <w:rsid w:val="008738C2"/>
    <w:rsid w:val="00873D5B"/>
    <w:rsid w:val="00884DBF"/>
    <w:rsid w:val="008A151F"/>
    <w:rsid w:val="008A6B03"/>
    <w:rsid w:val="008A77DF"/>
    <w:rsid w:val="008B0E6C"/>
    <w:rsid w:val="008B1506"/>
    <w:rsid w:val="008B707C"/>
    <w:rsid w:val="008B70F8"/>
    <w:rsid w:val="008C46B7"/>
    <w:rsid w:val="008D0F3F"/>
    <w:rsid w:val="008D2A99"/>
    <w:rsid w:val="008D385B"/>
    <w:rsid w:val="008D4695"/>
    <w:rsid w:val="008D51D4"/>
    <w:rsid w:val="008D6BDE"/>
    <w:rsid w:val="008E2D6A"/>
    <w:rsid w:val="008E59DF"/>
    <w:rsid w:val="009006F1"/>
    <w:rsid w:val="009034ED"/>
    <w:rsid w:val="00903B72"/>
    <w:rsid w:val="00903D0F"/>
    <w:rsid w:val="00911599"/>
    <w:rsid w:val="00914E18"/>
    <w:rsid w:val="00915421"/>
    <w:rsid w:val="0091658C"/>
    <w:rsid w:val="00920B8C"/>
    <w:rsid w:val="009216F9"/>
    <w:rsid w:val="0092684B"/>
    <w:rsid w:val="00927967"/>
    <w:rsid w:val="009311F3"/>
    <w:rsid w:val="00937778"/>
    <w:rsid w:val="00937DBF"/>
    <w:rsid w:val="009467C5"/>
    <w:rsid w:val="00947EAE"/>
    <w:rsid w:val="00955EC8"/>
    <w:rsid w:val="0095683E"/>
    <w:rsid w:val="009570AD"/>
    <w:rsid w:val="0095735B"/>
    <w:rsid w:val="00972376"/>
    <w:rsid w:val="00974CFA"/>
    <w:rsid w:val="0097718E"/>
    <w:rsid w:val="009771A4"/>
    <w:rsid w:val="009820D3"/>
    <w:rsid w:val="00990CAD"/>
    <w:rsid w:val="00991A72"/>
    <w:rsid w:val="00993E9B"/>
    <w:rsid w:val="009969E1"/>
    <w:rsid w:val="009A0B63"/>
    <w:rsid w:val="009A5414"/>
    <w:rsid w:val="009C5EBE"/>
    <w:rsid w:val="009C729C"/>
    <w:rsid w:val="009E128E"/>
    <w:rsid w:val="009E3E92"/>
    <w:rsid w:val="009E5EBF"/>
    <w:rsid w:val="009E628C"/>
    <w:rsid w:val="009E658C"/>
    <w:rsid w:val="00A02EF6"/>
    <w:rsid w:val="00A03963"/>
    <w:rsid w:val="00A03C6D"/>
    <w:rsid w:val="00A04D9E"/>
    <w:rsid w:val="00A1523C"/>
    <w:rsid w:val="00A21DD9"/>
    <w:rsid w:val="00A23173"/>
    <w:rsid w:val="00A2439E"/>
    <w:rsid w:val="00A26E72"/>
    <w:rsid w:val="00A3193E"/>
    <w:rsid w:val="00A40271"/>
    <w:rsid w:val="00A416EE"/>
    <w:rsid w:val="00A43466"/>
    <w:rsid w:val="00A44592"/>
    <w:rsid w:val="00A504B0"/>
    <w:rsid w:val="00A50B3C"/>
    <w:rsid w:val="00A550C1"/>
    <w:rsid w:val="00A64262"/>
    <w:rsid w:val="00A65785"/>
    <w:rsid w:val="00A6765A"/>
    <w:rsid w:val="00A727B4"/>
    <w:rsid w:val="00A758B7"/>
    <w:rsid w:val="00A77BD1"/>
    <w:rsid w:val="00A81C64"/>
    <w:rsid w:val="00A83755"/>
    <w:rsid w:val="00A84D25"/>
    <w:rsid w:val="00A84DDA"/>
    <w:rsid w:val="00A85FE3"/>
    <w:rsid w:val="00AB0833"/>
    <w:rsid w:val="00AB1AA7"/>
    <w:rsid w:val="00AB4018"/>
    <w:rsid w:val="00AC0191"/>
    <w:rsid w:val="00AC04C4"/>
    <w:rsid w:val="00AC3B9F"/>
    <w:rsid w:val="00AC566D"/>
    <w:rsid w:val="00AC7669"/>
    <w:rsid w:val="00AD47F0"/>
    <w:rsid w:val="00AD616E"/>
    <w:rsid w:val="00AD7C44"/>
    <w:rsid w:val="00AE26E5"/>
    <w:rsid w:val="00AE510F"/>
    <w:rsid w:val="00AE6FC0"/>
    <w:rsid w:val="00AF1412"/>
    <w:rsid w:val="00B002CC"/>
    <w:rsid w:val="00B033DC"/>
    <w:rsid w:val="00B0492E"/>
    <w:rsid w:val="00B11736"/>
    <w:rsid w:val="00B22C2E"/>
    <w:rsid w:val="00B23187"/>
    <w:rsid w:val="00B23D5E"/>
    <w:rsid w:val="00B24289"/>
    <w:rsid w:val="00B25ED1"/>
    <w:rsid w:val="00B26FC9"/>
    <w:rsid w:val="00B27918"/>
    <w:rsid w:val="00B30821"/>
    <w:rsid w:val="00B42962"/>
    <w:rsid w:val="00B432C1"/>
    <w:rsid w:val="00B46944"/>
    <w:rsid w:val="00B5299E"/>
    <w:rsid w:val="00B52D45"/>
    <w:rsid w:val="00B539C3"/>
    <w:rsid w:val="00B55265"/>
    <w:rsid w:val="00B575DE"/>
    <w:rsid w:val="00B57C2C"/>
    <w:rsid w:val="00B75FB9"/>
    <w:rsid w:val="00B76F27"/>
    <w:rsid w:val="00B80A6A"/>
    <w:rsid w:val="00B81F1B"/>
    <w:rsid w:val="00B92A0F"/>
    <w:rsid w:val="00BA366E"/>
    <w:rsid w:val="00BA397F"/>
    <w:rsid w:val="00BB0108"/>
    <w:rsid w:val="00BB1073"/>
    <w:rsid w:val="00BB3612"/>
    <w:rsid w:val="00BB5183"/>
    <w:rsid w:val="00BB6985"/>
    <w:rsid w:val="00BC063A"/>
    <w:rsid w:val="00BC2A8D"/>
    <w:rsid w:val="00BC5900"/>
    <w:rsid w:val="00BD0763"/>
    <w:rsid w:val="00BD22DF"/>
    <w:rsid w:val="00BE07F8"/>
    <w:rsid w:val="00BE12AE"/>
    <w:rsid w:val="00BE4230"/>
    <w:rsid w:val="00BE6359"/>
    <w:rsid w:val="00BF4D7D"/>
    <w:rsid w:val="00C04947"/>
    <w:rsid w:val="00C11F67"/>
    <w:rsid w:val="00C12964"/>
    <w:rsid w:val="00C16CAD"/>
    <w:rsid w:val="00C20243"/>
    <w:rsid w:val="00C23834"/>
    <w:rsid w:val="00C27465"/>
    <w:rsid w:val="00C30441"/>
    <w:rsid w:val="00C349FF"/>
    <w:rsid w:val="00C361D1"/>
    <w:rsid w:val="00C36C62"/>
    <w:rsid w:val="00C447A0"/>
    <w:rsid w:val="00C478AC"/>
    <w:rsid w:val="00C502CB"/>
    <w:rsid w:val="00C53F8D"/>
    <w:rsid w:val="00C614EB"/>
    <w:rsid w:val="00C61777"/>
    <w:rsid w:val="00C62C97"/>
    <w:rsid w:val="00C70B0D"/>
    <w:rsid w:val="00C729DC"/>
    <w:rsid w:val="00C73DAF"/>
    <w:rsid w:val="00C7440E"/>
    <w:rsid w:val="00C746A3"/>
    <w:rsid w:val="00C778EA"/>
    <w:rsid w:val="00C93632"/>
    <w:rsid w:val="00C97564"/>
    <w:rsid w:val="00CA3370"/>
    <w:rsid w:val="00CB27F4"/>
    <w:rsid w:val="00CB3BFD"/>
    <w:rsid w:val="00CB498F"/>
    <w:rsid w:val="00CD4E71"/>
    <w:rsid w:val="00CE53D8"/>
    <w:rsid w:val="00CE63B2"/>
    <w:rsid w:val="00CE6EE0"/>
    <w:rsid w:val="00CE7EAC"/>
    <w:rsid w:val="00CF1C8B"/>
    <w:rsid w:val="00CF4F13"/>
    <w:rsid w:val="00CF77B6"/>
    <w:rsid w:val="00D05D7A"/>
    <w:rsid w:val="00D07C30"/>
    <w:rsid w:val="00D11DBA"/>
    <w:rsid w:val="00D26CAF"/>
    <w:rsid w:val="00D342AE"/>
    <w:rsid w:val="00D34805"/>
    <w:rsid w:val="00D41446"/>
    <w:rsid w:val="00D4248B"/>
    <w:rsid w:val="00D437C1"/>
    <w:rsid w:val="00D469E3"/>
    <w:rsid w:val="00D472A8"/>
    <w:rsid w:val="00D50C3B"/>
    <w:rsid w:val="00D54E35"/>
    <w:rsid w:val="00D564D5"/>
    <w:rsid w:val="00D61AB0"/>
    <w:rsid w:val="00D61CC4"/>
    <w:rsid w:val="00D72686"/>
    <w:rsid w:val="00D76887"/>
    <w:rsid w:val="00D80C6C"/>
    <w:rsid w:val="00D80F19"/>
    <w:rsid w:val="00D82BB3"/>
    <w:rsid w:val="00D850AE"/>
    <w:rsid w:val="00D85889"/>
    <w:rsid w:val="00D94599"/>
    <w:rsid w:val="00DA0296"/>
    <w:rsid w:val="00DA0865"/>
    <w:rsid w:val="00DA6E92"/>
    <w:rsid w:val="00DB2979"/>
    <w:rsid w:val="00DB5F6D"/>
    <w:rsid w:val="00DC637F"/>
    <w:rsid w:val="00DD024C"/>
    <w:rsid w:val="00DD0F13"/>
    <w:rsid w:val="00DD4760"/>
    <w:rsid w:val="00DD51B9"/>
    <w:rsid w:val="00DE4456"/>
    <w:rsid w:val="00DE50F5"/>
    <w:rsid w:val="00DE56E7"/>
    <w:rsid w:val="00DE69CF"/>
    <w:rsid w:val="00E02357"/>
    <w:rsid w:val="00E02FD4"/>
    <w:rsid w:val="00E13898"/>
    <w:rsid w:val="00E25EDB"/>
    <w:rsid w:val="00E26BAC"/>
    <w:rsid w:val="00E31530"/>
    <w:rsid w:val="00E31C49"/>
    <w:rsid w:val="00E33389"/>
    <w:rsid w:val="00E33B2F"/>
    <w:rsid w:val="00E345D5"/>
    <w:rsid w:val="00E40806"/>
    <w:rsid w:val="00E455DD"/>
    <w:rsid w:val="00E55098"/>
    <w:rsid w:val="00E60D19"/>
    <w:rsid w:val="00E625BD"/>
    <w:rsid w:val="00E67C6F"/>
    <w:rsid w:val="00E74D09"/>
    <w:rsid w:val="00E81922"/>
    <w:rsid w:val="00E842D3"/>
    <w:rsid w:val="00E94167"/>
    <w:rsid w:val="00E96224"/>
    <w:rsid w:val="00EA26E5"/>
    <w:rsid w:val="00EB262E"/>
    <w:rsid w:val="00EB4051"/>
    <w:rsid w:val="00EB6F77"/>
    <w:rsid w:val="00EC2208"/>
    <w:rsid w:val="00EC2BE8"/>
    <w:rsid w:val="00EC4484"/>
    <w:rsid w:val="00EC59A5"/>
    <w:rsid w:val="00EC7443"/>
    <w:rsid w:val="00ED049D"/>
    <w:rsid w:val="00ED0FE5"/>
    <w:rsid w:val="00ED453D"/>
    <w:rsid w:val="00ED4D91"/>
    <w:rsid w:val="00EE1C2D"/>
    <w:rsid w:val="00EF175B"/>
    <w:rsid w:val="00EF3676"/>
    <w:rsid w:val="00EF5544"/>
    <w:rsid w:val="00F01C01"/>
    <w:rsid w:val="00F05646"/>
    <w:rsid w:val="00F05747"/>
    <w:rsid w:val="00F06B38"/>
    <w:rsid w:val="00F074FB"/>
    <w:rsid w:val="00F076B6"/>
    <w:rsid w:val="00F14541"/>
    <w:rsid w:val="00F17B30"/>
    <w:rsid w:val="00F3200C"/>
    <w:rsid w:val="00F36698"/>
    <w:rsid w:val="00F36C04"/>
    <w:rsid w:val="00F41867"/>
    <w:rsid w:val="00F42BD3"/>
    <w:rsid w:val="00F50B6E"/>
    <w:rsid w:val="00F51057"/>
    <w:rsid w:val="00F546F1"/>
    <w:rsid w:val="00F57B90"/>
    <w:rsid w:val="00F6199D"/>
    <w:rsid w:val="00F64D57"/>
    <w:rsid w:val="00F704A6"/>
    <w:rsid w:val="00F86F2A"/>
    <w:rsid w:val="00FA6EB0"/>
    <w:rsid w:val="00FB1152"/>
    <w:rsid w:val="00FB3DC2"/>
    <w:rsid w:val="00FB6946"/>
    <w:rsid w:val="00FC4648"/>
    <w:rsid w:val="00FC639D"/>
    <w:rsid w:val="00FD1F80"/>
    <w:rsid w:val="00FF0C68"/>
    <w:rsid w:val="00FF18A1"/>
    <w:rsid w:val="00FF2707"/>
    <w:rsid w:val="00FF6EC9"/>
    <w:rsid w:val="0F4A4BAB"/>
    <w:rsid w:val="129082A5"/>
    <w:rsid w:val="1813EEBC"/>
    <w:rsid w:val="5D14E869"/>
    <w:rsid w:val="67CD5F33"/>
    <w:rsid w:val="6C638A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B63D278"/>
  <w15:chartTrackingRefBased/>
  <w15:docId w15:val="{FED54922-424A-4399-AFA2-07C8FC7B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paragraph" w:styleId="Heading4">
    <w:name w:val="heading 4"/>
    <w:basedOn w:val="Normal"/>
    <w:next w:val="Normal"/>
    <w:link w:val="Heading4Char"/>
    <w:uiPriority w:val="9"/>
    <w:unhideWhenUsed/>
    <w:qFormat/>
    <w:rsid w:val="003553A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iPriority w:val="99"/>
    <w:unhideWhenUsed/>
    <w:rsid w:val="0053201B"/>
    <w:pPr>
      <w:tabs>
        <w:tab w:val="center" w:pos="4680"/>
        <w:tab w:val="right" w:pos="9360"/>
      </w:tabs>
      <w:spacing w:after="0"/>
    </w:pPr>
  </w:style>
  <w:style w:type="character" w:customStyle="1" w:styleId="HeaderChar">
    <w:name w:val="Header Char"/>
    <w:basedOn w:val="DefaultParagraphFont"/>
    <w:link w:val="Header"/>
    <w:uiPriority w:val="99"/>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table" w:styleId="TableGridLight">
    <w:name w:val="Grid Table Light"/>
    <w:basedOn w:val="TableNormal"/>
    <w:uiPriority w:val="40"/>
    <w:rsid w:val="005B34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B34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uiPriority w:val="9"/>
    <w:rsid w:val="003553A2"/>
    <w:rPr>
      <w:rFonts w:asciiTheme="majorHAnsi" w:eastAsiaTheme="majorEastAsia" w:hAnsiTheme="majorHAnsi" w:cstheme="majorBidi"/>
      <w:i/>
      <w:iCs/>
      <w:color w:val="2F5496" w:themeColor="accent1" w:themeShade="BF"/>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24412">
      <w:bodyDiv w:val="1"/>
      <w:marLeft w:val="0"/>
      <w:marRight w:val="0"/>
      <w:marTop w:val="0"/>
      <w:marBottom w:val="0"/>
      <w:divBdr>
        <w:top w:val="none" w:sz="0" w:space="0" w:color="auto"/>
        <w:left w:val="none" w:sz="0" w:space="0" w:color="auto"/>
        <w:bottom w:val="none" w:sz="0" w:space="0" w:color="auto"/>
        <w:right w:val="none" w:sz="0" w:space="0" w:color="auto"/>
      </w:divBdr>
    </w:div>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737744925">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79BDB-CB05-436A-A150-64C5E1D1239F}">
  <ds:schemaRefs>
    <ds:schemaRef ds:uri="http://purl.org/dc/terms/"/>
    <ds:schemaRef ds:uri="e51413fb-b6f8-4f29-abc2-eb20455e809e"/>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elements/1.1/"/>
    <ds:schemaRef ds:uri="a7036771-d2e9-4e8a-9ef7-3a342200a42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BF4FB-E797-4344-8640-EE92B4673A25}">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703</TotalTime>
  <Pages>4</Pages>
  <Words>1199</Words>
  <Characters>6835</Characters>
  <Application>Microsoft Office Word</Application>
  <DocSecurity>0</DocSecurity>
  <Lines>56</Lines>
  <Paragraphs>16</Paragraphs>
  <ScaleCrop>false</ScaleCrop>
  <Company>Qualcomm Incorporated</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596</cp:revision>
  <dcterms:created xsi:type="dcterms:W3CDTF">2024-03-28T10:16:00Z</dcterms:created>
  <dcterms:modified xsi:type="dcterms:W3CDTF">2024-11-08T11:37:00Z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